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C27" w:rsidRDefault="00040C27" w:rsidP="00040C27">
      <w:pPr>
        <w:shd w:val="clear" w:color="auto" w:fill="FFFFFF"/>
        <w:spacing w:after="0" w:line="240" w:lineRule="auto"/>
        <w:ind w:firstLine="720"/>
        <w:jc w:val="both"/>
        <w:outlineLvl w:val="0"/>
        <w:rPr>
          <w:rFonts w:ascii="Arial" w:eastAsia="Times New Roman" w:hAnsi="Arial" w:cs="Arial"/>
          <w:color w:val="000000"/>
          <w:kern w:val="36"/>
          <w:sz w:val="24"/>
          <w:szCs w:val="24"/>
        </w:rPr>
      </w:pPr>
      <w:r>
        <w:rPr>
          <w:rFonts w:ascii="Arial" w:eastAsia="Times New Roman" w:hAnsi="Arial" w:cs="Arial"/>
          <w:noProof/>
          <w:color w:val="000000"/>
          <w:kern w:val="36"/>
          <w:sz w:val="24"/>
          <w:szCs w:val="24"/>
        </w:rPr>
        <w:drawing>
          <wp:inline distT="0" distB="0" distL="0" distR="0">
            <wp:extent cx="2639090" cy="2083982"/>
            <wp:effectExtent l="19050" t="0" r="8860" b="0"/>
            <wp:docPr id="8" name="Picture 7" descr="Mentes_Capit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s_Capital_Logo.jpg"/>
                    <pic:cNvPicPr/>
                  </pic:nvPicPr>
                  <pic:blipFill>
                    <a:blip r:embed="rId8" cstate="print"/>
                    <a:stretch>
                      <a:fillRect/>
                    </a:stretch>
                  </pic:blipFill>
                  <pic:spPr>
                    <a:xfrm>
                      <a:off x="0" y="0"/>
                      <a:ext cx="2642766" cy="2086885"/>
                    </a:xfrm>
                    <a:prstGeom prst="rect">
                      <a:avLst/>
                    </a:prstGeom>
                  </pic:spPr>
                </pic:pic>
              </a:graphicData>
            </a:graphic>
          </wp:inline>
        </w:drawing>
      </w:r>
      <w:r>
        <w:rPr>
          <w:noProof/>
        </w:rPr>
        <w:drawing>
          <wp:inline distT="0" distB="0" distL="0" distR="0">
            <wp:extent cx="2383908" cy="2080383"/>
            <wp:effectExtent l="19050" t="0" r="0" b="0"/>
            <wp:docPr id="9" name="Picture 2" descr="https://upload.wikimedia.org/wikipedia/en/thumb/9/90/Marico_Logo.svg/150px-Maric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thumb/9/90/Marico_Logo.svg/150px-Marico_Logo.svg.png"/>
                    <pic:cNvPicPr>
                      <a:picLocks noChangeAspect="1" noChangeArrowheads="1"/>
                    </pic:cNvPicPr>
                  </pic:nvPicPr>
                  <pic:blipFill>
                    <a:blip r:embed="rId9"/>
                    <a:srcRect/>
                    <a:stretch>
                      <a:fillRect/>
                    </a:stretch>
                  </pic:blipFill>
                  <pic:spPr bwMode="auto">
                    <a:xfrm>
                      <a:off x="0" y="0"/>
                      <a:ext cx="2389008" cy="2084834"/>
                    </a:xfrm>
                    <a:prstGeom prst="rect">
                      <a:avLst/>
                    </a:prstGeom>
                    <a:noFill/>
                    <a:ln w="9525">
                      <a:noFill/>
                      <a:miter lim="800000"/>
                      <a:headEnd/>
                      <a:tailEnd/>
                    </a:ln>
                  </pic:spPr>
                </pic:pic>
              </a:graphicData>
            </a:graphic>
          </wp:inline>
        </w:drawing>
      </w:r>
    </w:p>
    <w:p w:rsidR="00040C27" w:rsidRDefault="00040C27"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BA2E6C" w:rsidRDefault="00BA2E6C" w:rsidP="00090038">
      <w:pPr>
        <w:shd w:val="clear" w:color="auto" w:fill="FFFFFF"/>
        <w:spacing w:after="0" w:line="240" w:lineRule="auto"/>
        <w:jc w:val="both"/>
        <w:outlineLvl w:val="0"/>
        <w:rPr>
          <w:rFonts w:ascii="Arial" w:eastAsia="Times New Roman" w:hAnsi="Arial" w:cs="Arial"/>
          <w:b/>
          <w:color w:val="000000"/>
          <w:kern w:val="36"/>
          <w:sz w:val="24"/>
          <w:szCs w:val="24"/>
        </w:rPr>
      </w:pPr>
    </w:p>
    <w:p w:rsidR="00BA2E6C" w:rsidRDefault="00BA2E6C" w:rsidP="00090038">
      <w:pPr>
        <w:shd w:val="clear" w:color="auto" w:fill="FFFFFF"/>
        <w:spacing w:after="0" w:line="240" w:lineRule="auto"/>
        <w:jc w:val="both"/>
        <w:outlineLvl w:val="0"/>
        <w:rPr>
          <w:rFonts w:ascii="Arial" w:eastAsia="Times New Roman" w:hAnsi="Arial" w:cs="Arial"/>
          <w:b/>
          <w:color w:val="000000"/>
          <w:kern w:val="36"/>
          <w:sz w:val="24"/>
          <w:szCs w:val="24"/>
        </w:rPr>
      </w:pPr>
    </w:p>
    <w:p w:rsidR="00BA2E6C" w:rsidRDefault="00BA2E6C" w:rsidP="00090038">
      <w:pPr>
        <w:shd w:val="clear" w:color="auto" w:fill="FFFFFF"/>
        <w:spacing w:after="0" w:line="240" w:lineRule="auto"/>
        <w:jc w:val="both"/>
        <w:outlineLvl w:val="0"/>
        <w:rPr>
          <w:rFonts w:ascii="Arial" w:eastAsia="Times New Roman" w:hAnsi="Arial" w:cs="Arial"/>
          <w:b/>
          <w:color w:val="000000"/>
          <w:kern w:val="36"/>
          <w:sz w:val="24"/>
          <w:szCs w:val="24"/>
        </w:rPr>
      </w:pPr>
    </w:p>
    <w:p w:rsidR="00040C27" w:rsidRPr="00564D3A" w:rsidRDefault="003F21D9" w:rsidP="00090038">
      <w:pPr>
        <w:shd w:val="clear" w:color="auto" w:fill="FFFFFF"/>
        <w:spacing w:after="0" w:line="240" w:lineRule="auto"/>
        <w:jc w:val="both"/>
        <w:outlineLvl w:val="0"/>
        <w:rPr>
          <w:rFonts w:ascii="Arial" w:eastAsia="Times New Roman" w:hAnsi="Arial" w:cs="Arial"/>
          <w:b/>
          <w:color w:val="000000"/>
          <w:kern w:val="36"/>
          <w:sz w:val="24"/>
          <w:szCs w:val="24"/>
        </w:rPr>
      </w:pPr>
      <w:r>
        <w:rPr>
          <w:rFonts w:ascii="Arial" w:eastAsia="Times New Roman" w:hAnsi="Arial" w:cs="Arial"/>
          <w:b/>
          <w:color w:val="000000"/>
          <w:kern w:val="36"/>
          <w:sz w:val="24"/>
          <w:szCs w:val="24"/>
        </w:rPr>
        <w:t>Contents</w:t>
      </w:r>
      <w:r w:rsidR="00A95C47" w:rsidRPr="00564D3A">
        <w:rPr>
          <w:rFonts w:ascii="Arial" w:eastAsia="Times New Roman" w:hAnsi="Arial" w:cs="Arial"/>
          <w:b/>
          <w:color w:val="000000"/>
          <w:kern w:val="36"/>
          <w:sz w:val="24"/>
          <w:szCs w:val="24"/>
        </w:rPr>
        <w:t>:</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Co</w:t>
      </w:r>
      <w:r w:rsidR="00F043B5">
        <w:rPr>
          <w:rFonts w:ascii="Arial" w:eastAsia="Times New Roman" w:hAnsi="Arial" w:cs="Arial"/>
          <w:color w:val="000000"/>
          <w:kern w:val="36"/>
          <w:sz w:val="24"/>
          <w:szCs w:val="24"/>
        </w:rPr>
        <w:t xml:space="preserve">mpany Particulars, Key Drivers and Comparative Performance </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F043B5"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 xml:space="preserve">Company Overview and </w:t>
      </w:r>
      <w:r w:rsidR="00A95C47">
        <w:rPr>
          <w:rFonts w:ascii="Arial" w:eastAsia="Times New Roman" w:hAnsi="Arial" w:cs="Arial"/>
          <w:color w:val="000000"/>
          <w:kern w:val="36"/>
          <w:sz w:val="24"/>
          <w:szCs w:val="24"/>
        </w:rPr>
        <w:t>Important Mile Stones</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Product Portfolio</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Industry Overview</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Economic Forecast Relevant for Consumer Products Sales</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Technical Analysis</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Sector Analysis</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Key Financial Observation</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Funds that have invested in Marico</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Some Stock Specific Statistics.</w:t>
      </w:r>
    </w:p>
    <w:p w:rsidR="00ED2D1E" w:rsidRDefault="00ED2D1E"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ED2D1E" w:rsidRDefault="00ED2D1E"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Long Term Price Chart</w:t>
      </w:r>
    </w:p>
    <w:p w:rsidR="00924E16" w:rsidRDefault="00924E16"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ED2D1E" w:rsidRDefault="00ED2D1E"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Shareholding Pattern</w:t>
      </w:r>
    </w:p>
    <w:p w:rsidR="00ED2D1E" w:rsidRDefault="00ED2D1E"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Valuation</w:t>
      </w: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r>
        <w:rPr>
          <w:rFonts w:ascii="Arial" w:eastAsia="Times New Roman" w:hAnsi="Arial" w:cs="Arial"/>
          <w:color w:val="000000"/>
          <w:kern w:val="36"/>
          <w:sz w:val="24"/>
          <w:szCs w:val="24"/>
        </w:rPr>
        <w:t xml:space="preserve"> </w:t>
      </w:r>
    </w:p>
    <w:p w:rsidR="00A95C47" w:rsidRDefault="00A95C47" w:rsidP="00090038">
      <w:pPr>
        <w:shd w:val="clear" w:color="auto" w:fill="FFFFFF"/>
        <w:spacing w:after="0" w:line="240" w:lineRule="auto"/>
        <w:jc w:val="both"/>
        <w:outlineLvl w:val="0"/>
        <w:rPr>
          <w:rFonts w:ascii="Arial" w:eastAsia="Times New Roman" w:hAnsi="Arial" w:cs="Arial"/>
          <w:color w:val="000000"/>
          <w:kern w:val="36"/>
          <w:sz w:val="24"/>
          <w:szCs w:val="24"/>
        </w:rPr>
      </w:pPr>
    </w:p>
    <w:p w:rsidR="00564D3A" w:rsidRDefault="00564D3A" w:rsidP="008212DD">
      <w:pPr>
        <w:jc w:val="both"/>
        <w:rPr>
          <w:rFonts w:ascii="Arial" w:hAnsi="Arial" w:cs="Arial"/>
          <w:b/>
          <w:sz w:val="24"/>
          <w:szCs w:val="24"/>
          <w:u w:val="single"/>
        </w:rPr>
      </w:pPr>
    </w:p>
    <w:p w:rsidR="00014B1D" w:rsidRPr="008212DD" w:rsidRDefault="00014B1D" w:rsidP="008212DD">
      <w:pPr>
        <w:jc w:val="both"/>
        <w:rPr>
          <w:rFonts w:ascii="Arial" w:hAnsi="Arial" w:cs="Arial"/>
          <w:b/>
          <w:sz w:val="24"/>
          <w:szCs w:val="24"/>
          <w:u w:val="single"/>
        </w:rPr>
      </w:pPr>
      <w:r w:rsidRPr="008212DD">
        <w:rPr>
          <w:rFonts w:ascii="Arial" w:hAnsi="Arial" w:cs="Arial"/>
          <w:b/>
          <w:sz w:val="24"/>
          <w:szCs w:val="24"/>
          <w:u w:val="single"/>
        </w:rPr>
        <w:lastRenderedPageBreak/>
        <w:t>Marico</w:t>
      </w:r>
      <w:r w:rsidR="0035254E">
        <w:rPr>
          <w:rFonts w:ascii="Arial" w:hAnsi="Arial" w:cs="Arial"/>
          <w:b/>
          <w:sz w:val="24"/>
          <w:szCs w:val="24"/>
          <w:u w:val="single"/>
        </w:rPr>
        <w:t>:-</w:t>
      </w:r>
    </w:p>
    <w:p w:rsidR="00132803" w:rsidRDefault="00014B1D" w:rsidP="00090038">
      <w:pPr>
        <w:jc w:val="both"/>
        <w:rPr>
          <w:rFonts w:ascii="Arial" w:hAnsi="Arial" w:cs="Arial"/>
          <w:color w:val="4D4D4D"/>
          <w:sz w:val="24"/>
          <w:szCs w:val="24"/>
          <w:shd w:val="clear" w:color="auto" w:fill="FFFFFF"/>
        </w:rPr>
      </w:pPr>
      <w:r w:rsidRPr="00090038">
        <w:rPr>
          <w:rFonts w:ascii="Arial" w:hAnsi="Arial" w:cs="Arial"/>
          <w:color w:val="4D4D4D"/>
          <w:sz w:val="24"/>
          <w:szCs w:val="24"/>
          <w:shd w:val="clear" w:color="auto" w:fill="FFFFFF"/>
        </w:rPr>
        <w:t>BSE: 531642</w:t>
      </w:r>
      <w:r w:rsidRPr="00090038">
        <w:rPr>
          <w:rStyle w:val="pr7"/>
          <w:rFonts w:ascii="Arial" w:hAnsi="Arial" w:cs="Arial"/>
          <w:color w:val="4D4D4D"/>
          <w:sz w:val="24"/>
          <w:szCs w:val="24"/>
          <w:bdr w:val="none" w:sz="0" w:space="0" w:color="auto" w:frame="1"/>
          <w:shd w:val="clear" w:color="auto" w:fill="FFFFFF"/>
        </w:rPr>
        <w:t>|</w:t>
      </w:r>
      <w:r w:rsidRPr="00090038">
        <w:rPr>
          <w:rFonts w:ascii="Arial" w:hAnsi="Arial" w:cs="Arial"/>
          <w:color w:val="4D4D4D"/>
          <w:sz w:val="24"/>
          <w:szCs w:val="24"/>
          <w:shd w:val="clear" w:color="auto" w:fill="FFFFFF"/>
        </w:rPr>
        <w:t>NSE: MARICO</w:t>
      </w:r>
      <w:r w:rsidRPr="00090038">
        <w:rPr>
          <w:rStyle w:val="pr7"/>
          <w:rFonts w:ascii="Arial" w:hAnsi="Arial" w:cs="Arial"/>
          <w:color w:val="4D4D4D"/>
          <w:sz w:val="24"/>
          <w:szCs w:val="24"/>
          <w:bdr w:val="none" w:sz="0" w:space="0" w:color="auto" w:frame="1"/>
          <w:shd w:val="clear" w:color="auto" w:fill="FFFFFF"/>
        </w:rPr>
        <w:t>|</w:t>
      </w:r>
      <w:r w:rsidRPr="00090038">
        <w:rPr>
          <w:rFonts w:ascii="Arial" w:hAnsi="Arial" w:cs="Arial"/>
          <w:color w:val="4D4D4D"/>
          <w:sz w:val="24"/>
          <w:szCs w:val="24"/>
          <w:shd w:val="clear" w:color="auto" w:fill="FFFFFF"/>
        </w:rPr>
        <w:t>ISIN: INE196A01026</w:t>
      </w:r>
      <w:r w:rsidRPr="00090038">
        <w:rPr>
          <w:rStyle w:val="pr7"/>
          <w:rFonts w:ascii="Arial" w:hAnsi="Arial" w:cs="Arial"/>
          <w:color w:val="4D4D4D"/>
          <w:sz w:val="24"/>
          <w:szCs w:val="24"/>
          <w:bdr w:val="none" w:sz="0" w:space="0" w:color="auto" w:frame="1"/>
          <w:shd w:val="clear" w:color="auto" w:fill="FFFFFF"/>
        </w:rPr>
        <w:t>|</w:t>
      </w:r>
      <w:r w:rsidRPr="00090038">
        <w:rPr>
          <w:rFonts w:ascii="Arial" w:hAnsi="Arial" w:cs="Arial"/>
          <w:color w:val="4D4D4D"/>
          <w:sz w:val="24"/>
          <w:szCs w:val="24"/>
          <w:shd w:val="clear" w:color="auto" w:fill="FFFFFF"/>
        </w:rPr>
        <w:t>SECTOR: Personal Care</w:t>
      </w:r>
    </w:p>
    <w:p w:rsidR="00203F04" w:rsidRPr="008212DD" w:rsidRDefault="00203F04" w:rsidP="00090038">
      <w:pPr>
        <w:jc w:val="both"/>
        <w:rPr>
          <w:rFonts w:ascii="Arial" w:hAnsi="Arial" w:cs="Arial"/>
          <w:b/>
          <w:sz w:val="24"/>
          <w:szCs w:val="24"/>
          <w:u w:val="single"/>
        </w:rPr>
      </w:pPr>
      <w:r w:rsidRPr="008212DD">
        <w:rPr>
          <w:rFonts w:ascii="Arial" w:hAnsi="Arial" w:cs="Arial"/>
          <w:b/>
          <w:sz w:val="24"/>
          <w:szCs w:val="24"/>
          <w:u w:val="single"/>
        </w:rPr>
        <w:t>Key Drivers:-</w:t>
      </w:r>
    </w:p>
    <w:p w:rsidR="00203F04" w:rsidRDefault="00203F04" w:rsidP="00090038">
      <w:pPr>
        <w:jc w:val="both"/>
        <w:rPr>
          <w:rFonts w:ascii="Arial" w:hAnsi="Arial" w:cs="Arial"/>
          <w:color w:val="4D4D4D"/>
          <w:sz w:val="24"/>
          <w:szCs w:val="24"/>
          <w:shd w:val="clear" w:color="auto" w:fill="FFFFFF"/>
        </w:rPr>
      </w:pPr>
      <w:r>
        <w:rPr>
          <w:rFonts w:ascii="Arial" w:hAnsi="Arial" w:cs="Arial"/>
          <w:color w:val="4D4D4D"/>
          <w:sz w:val="24"/>
          <w:szCs w:val="24"/>
          <w:shd w:val="clear" w:color="auto" w:fill="FFFFFF"/>
        </w:rPr>
        <w:t>Strong Brands, Sticky margins, Management focus on doubling revenues in 4 years. Strong correlation between Market Capatilization and Revenues in this sector.</w:t>
      </w:r>
    </w:p>
    <w:p w:rsidR="00F457FF" w:rsidRPr="00533541" w:rsidRDefault="00203F04" w:rsidP="00F457FF">
      <w:pPr>
        <w:jc w:val="both"/>
        <w:rPr>
          <w:rFonts w:ascii="Arial" w:hAnsi="Arial" w:cs="Arial"/>
          <w:b/>
          <w:color w:val="4D4D4D"/>
          <w:sz w:val="24"/>
          <w:szCs w:val="24"/>
          <w:shd w:val="clear" w:color="auto" w:fill="FFFFFF"/>
        </w:rPr>
      </w:pPr>
      <w:r w:rsidRPr="00533541">
        <w:rPr>
          <w:rFonts w:ascii="Arial" w:hAnsi="Arial" w:cs="Arial"/>
          <w:b/>
          <w:color w:val="4D4D4D"/>
          <w:sz w:val="24"/>
          <w:szCs w:val="24"/>
          <w:shd w:val="clear" w:color="auto" w:fill="FFFFFF"/>
        </w:rPr>
        <w:t>CMP 256.25</w:t>
      </w:r>
      <w:r w:rsidR="00F457FF" w:rsidRPr="00533541">
        <w:rPr>
          <w:rFonts w:ascii="Arial" w:hAnsi="Arial" w:cs="Arial"/>
          <w:b/>
          <w:color w:val="4D4D4D"/>
          <w:sz w:val="24"/>
          <w:szCs w:val="24"/>
          <w:shd w:val="clear" w:color="auto" w:fill="FFFFFF"/>
        </w:rPr>
        <w:tab/>
      </w:r>
      <w:r w:rsidR="00F457FF" w:rsidRPr="00533541">
        <w:rPr>
          <w:rFonts w:ascii="Arial" w:hAnsi="Arial" w:cs="Arial"/>
          <w:b/>
          <w:color w:val="4D4D4D"/>
          <w:sz w:val="24"/>
          <w:szCs w:val="24"/>
          <w:shd w:val="clear" w:color="auto" w:fill="FFFFFF"/>
        </w:rPr>
        <w:tab/>
      </w:r>
      <w:r w:rsidR="00F457FF" w:rsidRPr="00533541">
        <w:rPr>
          <w:rFonts w:ascii="Arial" w:hAnsi="Arial" w:cs="Arial"/>
          <w:b/>
          <w:color w:val="4D4D4D"/>
          <w:sz w:val="24"/>
          <w:szCs w:val="24"/>
          <w:shd w:val="clear" w:color="auto" w:fill="FFFFFF"/>
        </w:rPr>
        <w:tab/>
      </w:r>
      <w:r w:rsidR="00F457FF" w:rsidRPr="00533541">
        <w:rPr>
          <w:rFonts w:ascii="Arial" w:hAnsi="Arial" w:cs="Arial"/>
          <w:b/>
          <w:color w:val="4D4D4D"/>
          <w:sz w:val="24"/>
          <w:szCs w:val="24"/>
          <w:shd w:val="clear" w:color="auto" w:fill="FFFFFF"/>
        </w:rPr>
        <w:tab/>
        <w:t>Time Frame : 2 years</w:t>
      </w:r>
    </w:p>
    <w:p w:rsidR="00F457FF" w:rsidRDefault="00203F04" w:rsidP="00F457FF">
      <w:pPr>
        <w:jc w:val="both"/>
        <w:rPr>
          <w:rFonts w:ascii="Arial" w:hAnsi="Arial" w:cs="Arial"/>
          <w:b/>
          <w:color w:val="4D4D4D"/>
          <w:sz w:val="24"/>
          <w:szCs w:val="24"/>
          <w:shd w:val="clear" w:color="auto" w:fill="FFFFFF"/>
        </w:rPr>
      </w:pPr>
      <w:r w:rsidRPr="00533541">
        <w:rPr>
          <w:rFonts w:ascii="Arial" w:hAnsi="Arial" w:cs="Arial"/>
          <w:b/>
          <w:color w:val="4D4D4D"/>
          <w:sz w:val="24"/>
          <w:szCs w:val="24"/>
          <w:shd w:val="clear" w:color="auto" w:fill="FFFFFF"/>
        </w:rPr>
        <w:t xml:space="preserve">Target Rs 750 </w:t>
      </w:r>
      <w:r w:rsidR="00F457FF" w:rsidRPr="00533541">
        <w:rPr>
          <w:rFonts w:ascii="Arial" w:hAnsi="Arial" w:cs="Arial"/>
          <w:b/>
          <w:color w:val="4D4D4D"/>
          <w:sz w:val="24"/>
          <w:szCs w:val="24"/>
          <w:shd w:val="clear" w:color="auto" w:fill="FFFFFF"/>
        </w:rPr>
        <w:tab/>
      </w:r>
      <w:r w:rsidR="00F457FF" w:rsidRPr="00533541">
        <w:rPr>
          <w:rFonts w:ascii="Arial" w:hAnsi="Arial" w:cs="Arial"/>
          <w:b/>
          <w:color w:val="4D4D4D"/>
          <w:sz w:val="24"/>
          <w:szCs w:val="24"/>
          <w:shd w:val="clear" w:color="auto" w:fill="FFFFFF"/>
        </w:rPr>
        <w:tab/>
      </w:r>
      <w:r w:rsidR="00F457FF" w:rsidRPr="00533541">
        <w:rPr>
          <w:rFonts w:ascii="Arial" w:hAnsi="Arial" w:cs="Arial"/>
          <w:b/>
          <w:color w:val="4D4D4D"/>
          <w:sz w:val="24"/>
          <w:szCs w:val="24"/>
          <w:shd w:val="clear" w:color="auto" w:fill="FFFFFF"/>
        </w:rPr>
        <w:tab/>
        <w:t>Recommendation : BUY</w:t>
      </w:r>
    </w:p>
    <w:p w:rsidR="0035254E" w:rsidRPr="0035254E" w:rsidRDefault="0035254E" w:rsidP="0035254E">
      <w:pPr>
        <w:jc w:val="both"/>
        <w:rPr>
          <w:rFonts w:ascii="Arial" w:hAnsi="Arial" w:cs="Arial"/>
          <w:b/>
          <w:color w:val="4D4D4D"/>
          <w:sz w:val="24"/>
          <w:szCs w:val="24"/>
          <w:u w:val="single"/>
          <w:shd w:val="clear" w:color="auto" w:fill="FFFFFF"/>
        </w:rPr>
      </w:pPr>
      <w:r w:rsidRPr="0035254E">
        <w:rPr>
          <w:rFonts w:ascii="Arial" w:hAnsi="Arial" w:cs="Arial"/>
          <w:b/>
          <w:color w:val="4D4D4D"/>
          <w:sz w:val="24"/>
          <w:szCs w:val="24"/>
          <w:u w:val="single"/>
          <w:shd w:val="clear" w:color="auto" w:fill="FFFFFF"/>
        </w:rPr>
        <w:t>Comparative Performance</w:t>
      </w:r>
      <w:r>
        <w:rPr>
          <w:rFonts w:ascii="Arial" w:hAnsi="Arial" w:cs="Arial"/>
          <w:b/>
          <w:color w:val="4D4D4D"/>
          <w:sz w:val="24"/>
          <w:szCs w:val="24"/>
          <w:u w:val="single"/>
          <w:shd w:val="clear" w:color="auto" w:fill="FFFFFF"/>
        </w:rPr>
        <w:t>:-</w:t>
      </w:r>
    </w:p>
    <w:p w:rsidR="0035254E" w:rsidRPr="0035254E" w:rsidRDefault="0035254E" w:rsidP="0035254E">
      <w:pPr>
        <w:jc w:val="both"/>
        <w:rPr>
          <w:rFonts w:ascii="Arial" w:hAnsi="Arial" w:cs="Arial"/>
          <w:b/>
          <w:color w:val="4D4D4D"/>
          <w:sz w:val="24"/>
          <w:szCs w:val="24"/>
          <w:shd w:val="clear" w:color="auto" w:fill="FFFFFF"/>
        </w:rPr>
      </w:pPr>
      <w:r w:rsidRPr="0035254E">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1M (%)</w:t>
      </w:r>
      <w:r w:rsidRPr="0035254E">
        <w:rPr>
          <w:rFonts w:ascii="Arial" w:hAnsi="Arial" w:cs="Arial"/>
          <w:b/>
          <w:color w:val="4D4D4D"/>
          <w:sz w:val="24"/>
          <w:szCs w:val="24"/>
          <w:shd w:val="clear" w:color="auto" w:fill="FFFFFF"/>
        </w:rPr>
        <w:tab/>
        <w:t>3M (%)</w:t>
      </w:r>
      <w:r w:rsidRPr="0035254E">
        <w:rPr>
          <w:rFonts w:ascii="Arial" w:hAnsi="Arial" w:cs="Arial"/>
          <w:b/>
          <w:color w:val="4D4D4D"/>
          <w:sz w:val="24"/>
          <w:szCs w:val="24"/>
          <w:shd w:val="clear" w:color="auto" w:fill="FFFFFF"/>
        </w:rPr>
        <w:tab/>
        <w:t>6M (%)</w:t>
      </w:r>
    </w:p>
    <w:p w:rsidR="0035254E" w:rsidRPr="0035254E" w:rsidRDefault="0035254E" w:rsidP="0035254E">
      <w:pPr>
        <w:jc w:val="both"/>
        <w:rPr>
          <w:rFonts w:ascii="Arial" w:hAnsi="Arial" w:cs="Arial"/>
          <w:b/>
          <w:color w:val="4D4D4D"/>
          <w:sz w:val="24"/>
          <w:szCs w:val="24"/>
          <w:shd w:val="clear" w:color="auto" w:fill="FFFFFF"/>
        </w:rPr>
      </w:pPr>
      <w:r w:rsidRPr="0035254E">
        <w:rPr>
          <w:rFonts w:ascii="Arial" w:hAnsi="Arial" w:cs="Arial"/>
          <w:b/>
          <w:color w:val="4D4D4D"/>
          <w:sz w:val="24"/>
          <w:szCs w:val="24"/>
          <w:shd w:val="clear" w:color="auto" w:fill="FFFFFF"/>
        </w:rPr>
        <w:t>Marico Ltd</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10.96</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9.04</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13.09</w:t>
      </w:r>
    </w:p>
    <w:p w:rsidR="0035254E" w:rsidRPr="0035254E" w:rsidRDefault="0035254E" w:rsidP="0035254E">
      <w:pPr>
        <w:jc w:val="both"/>
        <w:rPr>
          <w:rFonts w:ascii="Arial" w:hAnsi="Arial" w:cs="Arial"/>
          <w:b/>
          <w:color w:val="4D4D4D"/>
          <w:sz w:val="24"/>
          <w:szCs w:val="24"/>
          <w:shd w:val="clear" w:color="auto" w:fill="FFFFFF"/>
        </w:rPr>
      </w:pPr>
      <w:r w:rsidRPr="0035254E">
        <w:rPr>
          <w:rFonts w:ascii="Arial" w:hAnsi="Arial" w:cs="Arial"/>
          <w:b/>
          <w:color w:val="4D4D4D"/>
          <w:sz w:val="24"/>
          <w:szCs w:val="24"/>
          <w:shd w:val="clear" w:color="auto" w:fill="FFFFFF"/>
        </w:rPr>
        <w:t>NIFTY (S&amp;P CNX)</w:t>
      </w:r>
      <w:r w:rsidRPr="0035254E">
        <w:rPr>
          <w:rFonts w:ascii="Arial" w:hAnsi="Arial" w:cs="Arial"/>
          <w:b/>
          <w:color w:val="4D4D4D"/>
          <w:sz w:val="24"/>
          <w:szCs w:val="24"/>
          <w:shd w:val="clear" w:color="auto" w:fill="FFFFFF"/>
        </w:rPr>
        <w:tab/>
        <w:t>5.58</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18.46</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18.68</w:t>
      </w:r>
    </w:p>
    <w:p w:rsidR="0035254E" w:rsidRPr="0035254E" w:rsidRDefault="0035254E" w:rsidP="0035254E">
      <w:pPr>
        <w:jc w:val="both"/>
        <w:rPr>
          <w:rFonts w:ascii="Arial" w:hAnsi="Arial" w:cs="Arial"/>
          <w:b/>
          <w:color w:val="4D4D4D"/>
          <w:sz w:val="24"/>
          <w:szCs w:val="24"/>
          <w:shd w:val="clear" w:color="auto" w:fill="FFFFFF"/>
        </w:rPr>
      </w:pPr>
      <w:r w:rsidRPr="0035254E">
        <w:rPr>
          <w:rFonts w:ascii="Arial" w:hAnsi="Arial" w:cs="Arial"/>
          <w:b/>
          <w:color w:val="4D4D4D"/>
          <w:sz w:val="24"/>
          <w:szCs w:val="24"/>
          <w:shd w:val="clear" w:color="auto" w:fill="FFFFFF"/>
        </w:rPr>
        <w:t>BSE Sensex</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6.17</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18.21</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18.21</w:t>
      </w:r>
    </w:p>
    <w:p w:rsidR="0035254E" w:rsidRPr="00533541" w:rsidRDefault="0035254E" w:rsidP="0035254E">
      <w:pPr>
        <w:jc w:val="both"/>
        <w:rPr>
          <w:rFonts w:ascii="Arial" w:hAnsi="Arial" w:cs="Arial"/>
          <w:b/>
          <w:color w:val="4D4D4D"/>
          <w:sz w:val="24"/>
          <w:szCs w:val="24"/>
          <w:shd w:val="clear" w:color="auto" w:fill="FFFFFF"/>
        </w:rPr>
      </w:pPr>
      <w:r w:rsidRPr="0035254E">
        <w:rPr>
          <w:rFonts w:ascii="Arial" w:hAnsi="Arial" w:cs="Arial"/>
          <w:b/>
          <w:color w:val="4D4D4D"/>
          <w:sz w:val="24"/>
          <w:szCs w:val="24"/>
          <w:shd w:val="clear" w:color="auto" w:fill="FFFFFF"/>
        </w:rPr>
        <w:t>BSE 500</w:t>
      </w:r>
      <w:r w:rsidRPr="0035254E">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ab/>
        <w:t>5.26</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19.15</w:t>
      </w:r>
      <w:r w:rsidRPr="0035254E">
        <w:rPr>
          <w:rFonts w:ascii="Arial" w:hAnsi="Arial" w:cs="Arial"/>
          <w:b/>
          <w:color w:val="4D4D4D"/>
          <w:sz w:val="24"/>
          <w:szCs w:val="24"/>
          <w:shd w:val="clear" w:color="auto" w:fill="FFFFFF"/>
        </w:rPr>
        <w:tab/>
      </w:r>
      <w:r>
        <w:rPr>
          <w:rFonts w:ascii="Arial" w:hAnsi="Arial" w:cs="Arial"/>
          <w:b/>
          <w:color w:val="4D4D4D"/>
          <w:sz w:val="24"/>
          <w:szCs w:val="24"/>
          <w:shd w:val="clear" w:color="auto" w:fill="FFFFFF"/>
        </w:rPr>
        <w:tab/>
      </w:r>
      <w:r w:rsidRPr="0035254E">
        <w:rPr>
          <w:rFonts w:ascii="Arial" w:hAnsi="Arial" w:cs="Arial"/>
          <w:b/>
          <w:color w:val="4D4D4D"/>
          <w:sz w:val="24"/>
          <w:szCs w:val="24"/>
          <w:shd w:val="clear" w:color="auto" w:fill="FFFFFF"/>
        </w:rPr>
        <w:t>19.90</w:t>
      </w:r>
    </w:p>
    <w:p w:rsidR="007A42FA" w:rsidRPr="008212DD" w:rsidRDefault="007A42FA" w:rsidP="00090038">
      <w:pPr>
        <w:jc w:val="both"/>
        <w:rPr>
          <w:rFonts w:ascii="Arial" w:hAnsi="Arial" w:cs="Arial"/>
          <w:b/>
          <w:sz w:val="24"/>
          <w:szCs w:val="24"/>
          <w:u w:val="single"/>
        </w:rPr>
      </w:pPr>
      <w:r w:rsidRPr="008212DD">
        <w:rPr>
          <w:rFonts w:ascii="Arial" w:hAnsi="Arial" w:cs="Arial"/>
          <w:b/>
          <w:sz w:val="24"/>
          <w:szCs w:val="24"/>
          <w:u w:val="single"/>
        </w:rPr>
        <w:t>Company Overview:-</w:t>
      </w:r>
    </w:p>
    <w:p w:rsidR="00040C27" w:rsidRDefault="00040C27" w:rsidP="00090038">
      <w:pPr>
        <w:jc w:val="both"/>
        <w:rPr>
          <w:rFonts w:ascii="Arial" w:hAnsi="Arial" w:cs="Arial"/>
          <w:color w:val="000000"/>
          <w:sz w:val="24"/>
          <w:szCs w:val="24"/>
          <w:shd w:val="clear" w:color="auto" w:fill="FFFFFF"/>
        </w:rPr>
      </w:pPr>
      <w:r w:rsidRPr="00040C27">
        <w:rPr>
          <w:rFonts w:ascii="Arial" w:hAnsi="Arial" w:cs="Arial"/>
          <w:color w:val="000000"/>
          <w:sz w:val="24"/>
          <w:szCs w:val="24"/>
          <w:shd w:val="clear" w:color="auto" w:fill="FFFFFF"/>
        </w:rPr>
        <w:t xml:space="preserve">Marico Limited is one of India's leading consumer products companies operating in the beauty and wellness space. Empowered with freedom and opportunity, Currently present in 25 countries across emerging markets of Asia and Africa, Marico has nurtured multiple brands in the categories of hair care, skin care, health foods, male grooming, and fabric care. Marico's India business markets household brands such as Parachute Advansed, Saffola, Hair &amp; Care, Nihar, Mediker, Revive, Manjal, Setwet, Zatak and Livon among others that </w:t>
      </w:r>
      <w:r>
        <w:rPr>
          <w:rFonts w:ascii="Arial" w:hAnsi="Arial" w:cs="Arial"/>
          <w:color w:val="000000"/>
          <w:sz w:val="24"/>
          <w:szCs w:val="24"/>
          <w:shd w:val="clear" w:color="auto" w:fill="FFFFFF"/>
        </w:rPr>
        <w:t>is used by</w:t>
      </w:r>
      <w:r w:rsidRPr="00040C27">
        <w:rPr>
          <w:rFonts w:ascii="Arial" w:hAnsi="Arial" w:cs="Arial"/>
          <w:color w:val="000000"/>
          <w:sz w:val="24"/>
          <w:szCs w:val="24"/>
          <w:shd w:val="clear" w:color="auto" w:fill="FFFFFF"/>
        </w:rPr>
        <w:t xml:space="preserve"> 1 in every 3 Indians. </w:t>
      </w:r>
    </w:p>
    <w:p w:rsidR="00351491" w:rsidRDefault="00040C27" w:rsidP="00090038">
      <w:pPr>
        <w:jc w:val="both"/>
        <w:rPr>
          <w:rFonts w:ascii="Arial" w:hAnsi="Arial" w:cs="Arial"/>
          <w:color w:val="000000"/>
          <w:sz w:val="24"/>
          <w:szCs w:val="24"/>
          <w:shd w:val="clear" w:color="auto" w:fill="FFFFFF"/>
        </w:rPr>
      </w:pPr>
      <w:r w:rsidRPr="00040C27">
        <w:rPr>
          <w:rFonts w:ascii="Arial" w:hAnsi="Arial" w:cs="Arial"/>
          <w:color w:val="000000"/>
          <w:sz w:val="24"/>
          <w:szCs w:val="24"/>
          <w:shd w:val="clear" w:color="auto" w:fill="FFFFFF"/>
        </w:rPr>
        <w:t xml:space="preserve">The International business offers unique brands such as Parachute, Hair Code, Fiancee, Caivil, Hercules, BlackChic, Code 10, Ingwe, X-Men, L'Ovite and Thuan Phat that are localized to fulfil the lifestyle needs of </w:t>
      </w:r>
      <w:r>
        <w:rPr>
          <w:rFonts w:ascii="Arial" w:hAnsi="Arial" w:cs="Arial"/>
          <w:color w:val="000000"/>
          <w:sz w:val="24"/>
          <w:szCs w:val="24"/>
          <w:shd w:val="clear" w:color="auto" w:fill="FFFFFF"/>
        </w:rPr>
        <w:t>their</w:t>
      </w:r>
      <w:r w:rsidRPr="00040C27">
        <w:rPr>
          <w:rFonts w:ascii="Arial" w:hAnsi="Arial" w:cs="Arial"/>
          <w:color w:val="000000"/>
          <w:sz w:val="24"/>
          <w:szCs w:val="24"/>
          <w:shd w:val="clear" w:color="auto" w:fill="FFFFFF"/>
        </w:rPr>
        <w:t xml:space="preserve"> international consumers. Charting an annual turnover of Rs. 61 billion (Financial Year 2015 - 2016) across </w:t>
      </w:r>
      <w:r>
        <w:rPr>
          <w:rFonts w:ascii="Arial" w:hAnsi="Arial" w:cs="Arial"/>
          <w:color w:val="000000"/>
          <w:sz w:val="24"/>
          <w:szCs w:val="24"/>
          <w:shd w:val="clear" w:color="auto" w:fill="FFFFFF"/>
        </w:rPr>
        <w:t>product</w:t>
      </w:r>
      <w:r w:rsidRPr="00040C27">
        <w:rPr>
          <w:rFonts w:ascii="Arial" w:hAnsi="Arial" w:cs="Arial"/>
          <w:color w:val="000000"/>
          <w:sz w:val="24"/>
          <w:szCs w:val="24"/>
          <w:shd w:val="clear" w:color="auto" w:fill="FFFFFF"/>
        </w:rPr>
        <w:t xml:space="preserve"> portfolio,</w:t>
      </w:r>
      <w:r>
        <w:rPr>
          <w:rFonts w:ascii="Arial" w:hAnsi="Arial" w:cs="Arial"/>
          <w:color w:val="000000"/>
          <w:sz w:val="24"/>
          <w:szCs w:val="24"/>
          <w:shd w:val="clear" w:color="auto" w:fill="FFFFFF"/>
        </w:rPr>
        <w:t xml:space="preserve"> </w:t>
      </w:r>
      <w:r w:rsidR="007A42FA" w:rsidRPr="00090038">
        <w:rPr>
          <w:rFonts w:ascii="Arial" w:hAnsi="Arial" w:cs="Arial"/>
          <w:color w:val="000000"/>
          <w:sz w:val="24"/>
          <w:szCs w:val="24"/>
          <w:shd w:val="clear" w:color="auto" w:fill="FFFFFF"/>
        </w:rPr>
        <w:t xml:space="preserve">Marico Limited is an India-based company engaged in the business of branded consumer products and services. </w:t>
      </w:r>
      <w:r w:rsidR="00351491" w:rsidRPr="00351491">
        <w:rPr>
          <w:rFonts w:ascii="Arial" w:hAnsi="Arial" w:cs="Arial"/>
          <w:color w:val="000000"/>
          <w:sz w:val="24"/>
          <w:szCs w:val="24"/>
          <w:shd w:val="clear" w:color="auto" w:fill="FFFFFF"/>
        </w:rPr>
        <w:t>The</w:t>
      </w:r>
      <w:r w:rsidR="00351491">
        <w:rPr>
          <w:rFonts w:ascii="Arial" w:hAnsi="Arial" w:cs="Arial"/>
          <w:color w:val="000000"/>
          <w:sz w:val="24"/>
          <w:szCs w:val="24"/>
          <w:shd w:val="clear" w:color="auto" w:fill="FFFFFF"/>
        </w:rPr>
        <w:t xml:space="preserve"> company has presence in the </w:t>
      </w:r>
      <w:r w:rsidR="00351491" w:rsidRPr="00351491">
        <w:rPr>
          <w:rFonts w:ascii="Arial" w:hAnsi="Arial" w:cs="Arial"/>
          <w:color w:val="000000"/>
          <w:sz w:val="24"/>
          <w:szCs w:val="24"/>
          <w:shd w:val="clear" w:color="auto" w:fill="FFFFFF"/>
        </w:rPr>
        <w:t xml:space="preserve"> Middle East, SAARC countries, Egypt, Myanmar, Malaysia, South Africa, Singapore, and Vietnam.</w:t>
      </w:r>
    </w:p>
    <w:p w:rsidR="00351491" w:rsidRDefault="00351491" w:rsidP="00090038">
      <w:pPr>
        <w:jc w:val="both"/>
        <w:rPr>
          <w:rFonts w:ascii="Arial" w:hAnsi="Arial" w:cs="Arial"/>
          <w:color w:val="000000"/>
          <w:sz w:val="24"/>
          <w:szCs w:val="24"/>
          <w:shd w:val="clear" w:color="auto" w:fill="FFFFFF"/>
        </w:rPr>
      </w:pPr>
      <w:r w:rsidRPr="00351491">
        <w:rPr>
          <w:rFonts w:ascii="Arial" w:hAnsi="Arial" w:cs="Arial"/>
          <w:color w:val="000000"/>
          <w:sz w:val="24"/>
          <w:szCs w:val="24"/>
          <w:shd w:val="clear" w:color="auto" w:fill="FFFFFF"/>
        </w:rPr>
        <w:t xml:space="preserve"> It offers coconut oil, hair oils, refined edible oils, anti-lice treatments, fabric care, functional and other processed foods, hair creams and gels, hair serums, shampoos, shower gels, hair relaxers and straighteners, deodorants, and other consumer products</w:t>
      </w:r>
      <w:r>
        <w:rPr>
          <w:rFonts w:ascii="Arial" w:hAnsi="Arial" w:cs="Arial"/>
          <w:color w:val="000000"/>
          <w:sz w:val="24"/>
          <w:szCs w:val="24"/>
          <w:shd w:val="clear" w:color="auto" w:fill="FFFFFF"/>
        </w:rPr>
        <w:t xml:space="preserve">. </w:t>
      </w:r>
    </w:p>
    <w:p w:rsidR="00351491" w:rsidRDefault="007A42FA" w:rsidP="00090038">
      <w:pPr>
        <w:jc w:val="both"/>
        <w:rPr>
          <w:rFonts w:ascii="Arial" w:hAnsi="Arial" w:cs="Arial"/>
          <w:color w:val="000000"/>
          <w:sz w:val="24"/>
          <w:szCs w:val="24"/>
          <w:shd w:val="clear" w:color="auto" w:fill="FFFFFF"/>
        </w:rPr>
      </w:pPr>
      <w:r w:rsidRPr="00090038">
        <w:rPr>
          <w:rFonts w:ascii="Arial" w:hAnsi="Arial" w:cs="Arial"/>
          <w:color w:val="000000"/>
          <w:sz w:val="24"/>
          <w:szCs w:val="24"/>
          <w:shd w:val="clear" w:color="auto" w:fill="FFFFFF"/>
        </w:rPr>
        <w:lastRenderedPageBreak/>
        <w:t xml:space="preserve">The Company operates in two segments: Consumer Products and Others. Its Consumer Products include Coconut oils, other edible oils, hair oils and other hair care products, male grooming products, fabric care products, healthy foods, soaps, health care products and female beauty care products. </w:t>
      </w:r>
    </w:p>
    <w:p w:rsidR="00351491" w:rsidRDefault="007A42FA" w:rsidP="00090038">
      <w:pPr>
        <w:jc w:val="both"/>
        <w:rPr>
          <w:rFonts w:ascii="Arial" w:hAnsi="Arial" w:cs="Arial"/>
          <w:color w:val="000000"/>
          <w:sz w:val="24"/>
          <w:szCs w:val="24"/>
          <w:shd w:val="clear" w:color="auto" w:fill="FFFFFF"/>
        </w:rPr>
      </w:pPr>
      <w:r w:rsidRPr="00090038">
        <w:rPr>
          <w:rFonts w:ascii="Arial" w:hAnsi="Arial" w:cs="Arial"/>
          <w:color w:val="000000"/>
          <w:sz w:val="24"/>
          <w:szCs w:val="24"/>
          <w:shd w:val="clear" w:color="auto" w:fill="FFFFFF"/>
        </w:rPr>
        <w:t xml:space="preserve">Others segment is engaged in skin care. In India, Marico Limited manufactures and markets products under the brands such as Parachute Advansed, Saffola, Hair &amp; Care, Nihar, Mediker, Revive, Manjal, Setwet, Zatak and Livon. </w:t>
      </w:r>
    </w:p>
    <w:p w:rsidR="007A42FA" w:rsidRDefault="007A42FA" w:rsidP="00090038">
      <w:pPr>
        <w:jc w:val="both"/>
        <w:rPr>
          <w:rFonts w:ascii="Arial" w:hAnsi="Arial" w:cs="Arial"/>
          <w:color w:val="000000"/>
          <w:sz w:val="24"/>
          <w:szCs w:val="24"/>
          <w:shd w:val="clear" w:color="auto" w:fill="FFFFFF"/>
        </w:rPr>
      </w:pPr>
      <w:r w:rsidRPr="00090038">
        <w:rPr>
          <w:rFonts w:ascii="Arial" w:hAnsi="Arial" w:cs="Arial"/>
          <w:color w:val="000000"/>
          <w:sz w:val="24"/>
          <w:szCs w:val="24"/>
          <w:shd w:val="clear" w:color="auto" w:fill="FFFFFF"/>
        </w:rPr>
        <w:t>Marico’s international portfolio includes brands such as Parachute, Hair Code, Fiancee, Caivil, Hercules, BlackChic, Code 10, Ingwe, X-Men, L'Ovite and Thuan Phat. It is present in Skin Care solutions business under the brand name Kaya in India and international markets and the brand Derma Rx in Singapore and Malaysia. The Company currently present in 25 countries.</w:t>
      </w:r>
    </w:p>
    <w:p w:rsidR="00352B97" w:rsidRPr="00352B97" w:rsidRDefault="00352B97" w:rsidP="00090038">
      <w:pPr>
        <w:jc w:val="both"/>
        <w:rPr>
          <w:rFonts w:ascii="Arial" w:hAnsi="Arial" w:cs="Arial"/>
          <w:b/>
          <w:sz w:val="24"/>
          <w:szCs w:val="24"/>
          <w:u w:val="single"/>
        </w:rPr>
      </w:pPr>
      <w:r w:rsidRPr="00352B97">
        <w:rPr>
          <w:rFonts w:ascii="Arial" w:hAnsi="Arial" w:cs="Arial"/>
          <w:b/>
          <w:sz w:val="24"/>
          <w:szCs w:val="24"/>
          <w:u w:val="single"/>
        </w:rPr>
        <w:t>Important Mile Stones</w:t>
      </w:r>
      <w:r>
        <w:rPr>
          <w:rFonts w:ascii="Arial" w:hAnsi="Arial" w:cs="Arial"/>
          <w:b/>
          <w:sz w:val="24"/>
          <w:szCs w:val="24"/>
          <w:u w:val="single"/>
        </w:rPr>
        <w:t>:-</w:t>
      </w:r>
    </w:p>
    <w:p w:rsidR="00352B97" w:rsidRPr="00352B97" w:rsidRDefault="00352B97" w:rsidP="00352B97">
      <w:pPr>
        <w:jc w:val="both"/>
        <w:rPr>
          <w:rFonts w:ascii="Arial" w:hAnsi="Arial" w:cs="Arial"/>
          <w:color w:val="000000"/>
          <w:sz w:val="24"/>
          <w:szCs w:val="24"/>
          <w:shd w:val="clear" w:color="auto" w:fill="FFFFFF"/>
        </w:rPr>
      </w:pPr>
      <w:r w:rsidRPr="00352B97">
        <w:rPr>
          <w:rFonts w:ascii="Arial" w:hAnsi="Arial" w:cs="Arial"/>
          <w:color w:val="000000"/>
          <w:sz w:val="24"/>
          <w:szCs w:val="24"/>
          <w:shd w:val="clear" w:color="auto" w:fill="FFFFFF"/>
        </w:rPr>
        <w:t>2011</w:t>
      </w:r>
      <w:r w:rsidRPr="00352B97">
        <w:rPr>
          <w:rFonts w:ascii="Arial" w:hAnsi="Arial" w:cs="Arial"/>
          <w:color w:val="000000"/>
          <w:sz w:val="24"/>
          <w:szCs w:val="24"/>
          <w:shd w:val="clear" w:color="auto" w:fill="FFFFFF"/>
        </w:rPr>
        <w:tab/>
        <w:t>Marico strengthens its presence in southeast Asia through a male grooming, skin care and food portfolio acquired in Vietnam.</w:t>
      </w:r>
    </w:p>
    <w:p w:rsidR="00352B97" w:rsidRPr="00352B97" w:rsidRDefault="00352B97" w:rsidP="00352B97">
      <w:pPr>
        <w:jc w:val="both"/>
        <w:rPr>
          <w:rFonts w:ascii="Arial" w:hAnsi="Arial" w:cs="Arial"/>
          <w:color w:val="000000"/>
          <w:sz w:val="24"/>
          <w:szCs w:val="24"/>
          <w:shd w:val="clear" w:color="auto" w:fill="FFFFFF"/>
        </w:rPr>
      </w:pPr>
      <w:r w:rsidRPr="00352B97">
        <w:rPr>
          <w:rFonts w:ascii="Arial" w:hAnsi="Arial" w:cs="Arial"/>
          <w:color w:val="000000"/>
          <w:sz w:val="24"/>
          <w:szCs w:val="24"/>
          <w:shd w:val="clear" w:color="auto" w:fill="FFFFFF"/>
        </w:rPr>
        <w:t>2007</w:t>
      </w:r>
      <w:r w:rsidRPr="00352B97">
        <w:rPr>
          <w:rFonts w:ascii="Arial" w:hAnsi="Arial" w:cs="Arial"/>
          <w:color w:val="000000"/>
          <w:sz w:val="24"/>
          <w:szCs w:val="24"/>
          <w:shd w:val="clear" w:color="auto" w:fill="FFFFFF"/>
        </w:rPr>
        <w:tab/>
        <w:t>Marico casts its footprint in Africa – acquires / Fiancee and Hair Code in Egypt and Caivil, Black Chic &amp; Hercules in South Africa.</w:t>
      </w:r>
    </w:p>
    <w:p w:rsidR="00352B97" w:rsidRPr="00352B97" w:rsidRDefault="00352B97" w:rsidP="00352B97">
      <w:pPr>
        <w:jc w:val="both"/>
        <w:rPr>
          <w:rFonts w:ascii="Arial" w:hAnsi="Arial" w:cs="Arial"/>
          <w:color w:val="000000"/>
          <w:sz w:val="24"/>
          <w:szCs w:val="24"/>
          <w:shd w:val="clear" w:color="auto" w:fill="FFFFFF"/>
        </w:rPr>
      </w:pPr>
      <w:r w:rsidRPr="00352B97">
        <w:rPr>
          <w:rFonts w:ascii="Arial" w:hAnsi="Arial" w:cs="Arial"/>
          <w:color w:val="000000"/>
          <w:sz w:val="24"/>
          <w:szCs w:val="24"/>
          <w:shd w:val="clear" w:color="auto" w:fill="FFFFFF"/>
        </w:rPr>
        <w:t>2003</w:t>
      </w:r>
      <w:r w:rsidRPr="00352B97">
        <w:rPr>
          <w:rFonts w:ascii="Arial" w:hAnsi="Arial" w:cs="Arial"/>
          <w:color w:val="000000"/>
          <w:sz w:val="24"/>
          <w:szCs w:val="24"/>
          <w:shd w:val="clear" w:color="auto" w:fill="FFFFFF"/>
        </w:rPr>
        <w:tab/>
        <w:t>Marico makes a difference – sets up copra collection centres to procure directly from farmers increasing their margins and thereby improving their lives.</w:t>
      </w:r>
    </w:p>
    <w:p w:rsidR="00352B97" w:rsidRPr="00352B97" w:rsidRDefault="00352B97" w:rsidP="00352B97">
      <w:pPr>
        <w:jc w:val="both"/>
        <w:rPr>
          <w:rFonts w:ascii="Arial" w:hAnsi="Arial" w:cs="Arial"/>
          <w:color w:val="000000"/>
          <w:sz w:val="24"/>
          <w:szCs w:val="24"/>
          <w:shd w:val="clear" w:color="auto" w:fill="FFFFFF"/>
        </w:rPr>
      </w:pPr>
      <w:r w:rsidRPr="00352B97">
        <w:rPr>
          <w:rFonts w:ascii="Arial" w:hAnsi="Arial" w:cs="Arial"/>
          <w:color w:val="000000"/>
          <w:sz w:val="24"/>
          <w:szCs w:val="24"/>
          <w:shd w:val="clear" w:color="auto" w:fill="FFFFFF"/>
        </w:rPr>
        <w:t>1996</w:t>
      </w:r>
      <w:r w:rsidRPr="00352B97">
        <w:rPr>
          <w:rFonts w:ascii="Arial" w:hAnsi="Arial" w:cs="Arial"/>
          <w:color w:val="000000"/>
          <w:sz w:val="24"/>
          <w:szCs w:val="24"/>
          <w:shd w:val="clear" w:color="auto" w:fill="FFFFFF"/>
        </w:rPr>
        <w:tab/>
        <w:t>Marico lists on the Indian stock exchanges.</w:t>
      </w:r>
    </w:p>
    <w:p w:rsidR="00352B97" w:rsidRDefault="00352B97" w:rsidP="00352B97">
      <w:pPr>
        <w:jc w:val="both"/>
        <w:rPr>
          <w:rFonts w:ascii="Arial" w:hAnsi="Arial" w:cs="Arial"/>
          <w:color w:val="000000"/>
          <w:sz w:val="24"/>
          <w:szCs w:val="24"/>
          <w:shd w:val="clear" w:color="auto" w:fill="FFFFFF"/>
        </w:rPr>
      </w:pPr>
      <w:r w:rsidRPr="00352B97">
        <w:rPr>
          <w:rFonts w:ascii="Arial" w:hAnsi="Arial" w:cs="Arial"/>
          <w:color w:val="000000"/>
          <w:sz w:val="24"/>
          <w:szCs w:val="24"/>
          <w:shd w:val="clear" w:color="auto" w:fill="FFFFFF"/>
        </w:rPr>
        <w:t>1991</w:t>
      </w:r>
      <w:r w:rsidRPr="00352B97">
        <w:rPr>
          <w:rFonts w:ascii="Arial" w:hAnsi="Arial" w:cs="Arial"/>
          <w:color w:val="000000"/>
          <w:sz w:val="24"/>
          <w:szCs w:val="24"/>
          <w:shd w:val="clear" w:color="auto" w:fill="FFFFFF"/>
        </w:rPr>
        <w:tab/>
        <w:t>Marico leadership co-creates its first Corporate Mission and Values document in the 3Ps of Marico.</w:t>
      </w:r>
    </w:p>
    <w:p w:rsidR="00351491" w:rsidRDefault="00351491" w:rsidP="00090038">
      <w:pPr>
        <w:jc w:val="both"/>
        <w:rPr>
          <w:rFonts w:ascii="Arial" w:hAnsi="Arial" w:cs="Arial"/>
          <w:b/>
          <w:sz w:val="24"/>
          <w:szCs w:val="24"/>
          <w:u w:val="single"/>
        </w:rPr>
      </w:pPr>
      <w:r w:rsidRPr="008212DD">
        <w:rPr>
          <w:rFonts w:ascii="Arial" w:hAnsi="Arial" w:cs="Arial"/>
          <w:b/>
          <w:sz w:val="24"/>
          <w:szCs w:val="24"/>
          <w:u w:val="single"/>
        </w:rPr>
        <w:t>Product Portfolio:-</w:t>
      </w:r>
    </w:p>
    <w:p w:rsidR="00F457FF" w:rsidRPr="008212DD" w:rsidRDefault="00F457FF" w:rsidP="00090038">
      <w:pPr>
        <w:jc w:val="both"/>
        <w:rPr>
          <w:rFonts w:ascii="Arial" w:hAnsi="Arial" w:cs="Arial"/>
          <w:b/>
          <w:sz w:val="24"/>
          <w:szCs w:val="24"/>
          <w:u w:val="single"/>
        </w:rPr>
      </w:pPr>
      <w:r>
        <w:rPr>
          <w:rFonts w:ascii="Arial" w:hAnsi="Arial" w:cs="Arial"/>
          <w:color w:val="000000"/>
          <w:sz w:val="24"/>
          <w:szCs w:val="24"/>
          <w:shd w:val="clear" w:color="auto" w:fill="FFFFFF"/>
        </w:rPr>
        <w:t>Establishing brands in this sector involves heavy advertising and using celebrity brand endorsement . Both Brand creation and sustaining brand recall in the minds of the consumer at the point of purchase is critical for getting higher revenues.</w:t>
      </w:r>
    </w:p>
    <w:p w:rsidR="00040C27" w:rsidRDefault="00040C27" w:rsidP="00090038">
      <w:pPr>
        <w:jc w:val="both"/>
        <w:rPr>
          <w:rFonts w:ascii="Arial" w:hAnsi="Arial" w:cs="Arial"/>
          <w:color w:val="000000"/>
          <w:sz w:val="24"/>
          <w:szCs w:val="24"/>
          <w:shd w:val="clear" w:color="auto" w:fill="FFFFFF"/>
        </w:rPr>
      </w:pPr>
      <w:r>
        <w:rPr>
          <w:noProof/>
        </w:rPr>
        <w:drawing>
          <wp:inline distT="0" distB="0" distL="0" distR="0">
            <wp:extent cx="5529528" cy="1807535"/>
            <wp:effectExtent l="19050" t="0" r="0" b="0"/>
            <wp:docPr id="10" name="Picture 5" descr="http://www.thehindubusinessline.com/multimedia/dynamic/00925/BL16_MARICO_col_eps_9253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hindubusinessline.com/multimedia/dynamic/00925/BL16_MARICO_col_eps_925321f.jpg"/>
                    <pic:cNvPicPr>
                      <a:picLocks noChangeAspect="1" noChangeArrowheads="1"/>
                    </pic:cNvPicPr>
                  </pic:nvPicPr>
                  <pic:blipFill>
                    <a:blip r:embed="rId10"/>
                    <a:srcRect/>
                    <a:stretch>
                      <a:fillRect/>
                    </a:stretch>
                  </pic:blipFill>
                  <pic:spPr bwMode="auto">
                    <a:xfrm>
                      <a:off x="0" y="0"/>
                      <a:ext cx="5528945" cy="1807344"/>
                    </a:xfrm>
                    <a:prstGeom prst="rect">
                      <a:avLst/>
                    </a:prstGeom>
                    <a:noFill/>
                    <a:ln w="9525">
                      <a:noFill/>
                      <a:miter lim="800000"/>
                      <a:headEnd/>
                      <a:tailEnd/>
                    </a:ln>
                  </pic:spPr>
                </pic:pic>
              </a:graphicData>
            </a:graphic>
          </wp:inline>
        </w:drawing>
      </w:r>
    </w:p>
    <w:p w:rsidR="00B37A6D" w:rsidRDefault="00B37A6D" w:rsidP="00090038">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Higher revenues directly impact market capitalization in this sector. </w:t>
      </w:r>
    </w:p>
    <w:p w:rsidR="00B37A6D" w:rsidRDefault="00B37A6D" w:rsidP="00090038">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Consumer Goods can be bifurcated into the following categories. This below image helps to know the drivers in consumption and how demographic changes coupled with higher education levels increases aspiration to consume such products. </w:t>
      </w:r>
    </w:p>
    <w:p w:rsidR="00F043B5" w:rsidRDefault="00F043B5" w:rsidP="00F043B5">
      <w:pPr>
        <w:ind w:left="720" w:firstLine="720"/>
        <w:jc w:val="both"/>
        <w:rPr>
          <w:rFonts w:ascii="Arial" w:hAnsi="Arial" w:cs="Arial"/>
          <w:color w:val="000000"/>
          <w:sz w:val="24"/>
          <w:szCs w:val="24"/>
          <w:shd w:val="clear" w:color="auto" w:fill="FFFFFF"/>
        </w:rPr>
      </w:pPr>
      <w:r w:rsidRPr="00F043B5">
        <w:rPr>
          <w:rFonts w:ascii="Arial" w:hAnsi="Arial" w:cs="Arial"/>
          <w:noProof/>
          <w:color w:val="000000"/>
          <w:sz w:val="24"/>
          <w:szCs w:val="24"/>
          <w:shd w:val="clear" w:color="auto" w:fill="FFFFFF"/>
        </w:rPr>
        <w:drawing>
          <wp:inline distT="0" distB="0" distL="0" distR="0">
            <wp:extent cx="3370427" cy="3519377"/>
            <wp:effectExtent l="19050" t="0" r="1423"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370580" cy="3519537"/>
                    </a:xfrm>
                    <a:prstGeom prst="rect">
                      <a:avLst/>
                    </a:prstGeom>
                    <a:noFill/>
                    <a:ln w="9525">
                      <a:noFill/>
                      <a:miter lim="800000"/>
                      <a:headEnd/>
                      <a:tailEnd/>
                    </a:ln>
                  </pic:spPr>
                </pic:pic>
              </a:graphicData>
            </a:graphic>
          </wp:inline>
        </w:drawing>
      </w:r>
    </w:p>
    <w:p w:rsidR="00564D3A" w:rsidRDefault="00564D3A" w:rsidP="006C012C">
      <w:pPr>
        <w:jc w:val="both"/>
        <w:rPr>
          <w:rFonts w:ascii="Arial" w:hAnsi="Arial" w:cs="Arial"/>
          <w:b/>
          <w:sz w:val="24"/>
          <w:szCs w:val="24"/>
          <w:u w:val="single"/>
        </w:rPr>
      </w:pPr>
    </w:p>
    <w:p w:rsidR="006C012C" w:rsidRPr="001172CD" w:rsidRDefault="006C012C" w:rsidP="006C012C">
      <w:pPr>
        <w:jc w:val="both"/>
        <w:rPr>
          <w:rFonts w:ascii="Arial" w:hAnsi="Arial" w:cs="Arial"/>
          <w:b/>
          <w:sz w:val="24"/>
          <w:szCs w:val="24"/>
          <w:u w:val="single"/>
        </w:rPr>
      </w:pPr>
      <w:r w:rsidRPr="001172CD">
        <w:rPr>
          <w:rFonts w:ascii="Arial" w:hAnsi="Arial" w:cs="Arial"/>
          <w:b/>
          <w:sz w:val="24"/>
          <w:szCs w:val="24"/>
          <w:u w:val="single"/>
        </w:rPr>
        <w:t>Industry Overview:-</w:t>
      </w:r>
    </w:p>
    <w:p w:rsidR="00ED2D1E" w:rsidRDefault="006C012C" w:rsidP="006C012C">
      <w:pPr>
        <w:pStyle w:val="NormalWeb"/>
        <w:shd w:val="clear" w:color="auto" w:fill="FFFFFF"/>
        <w:spacing w:before="0" w:beforeAutospacing="0" w:after="0" w:afterAutospacing="0" w:line="301" w:lineRule="atLeast"/>
        <w:rPr>
          <w:rFonts w:ascii="Arial" w:hAnsi="Arial" w:cs="Arial"/>
          <w:color w:val="333333"/>
        </w:rPr>
      </w:pPr>
      <w:r>
        <w:rPr>
          <w:rFonts w:ascii="Arial" w:hAnsi="Arial" w:cs="Arial"/>
          <w:color w:val="333333"/>
        </w:rPr>
        <w:t>The FMCG sector has grown at an annual average of about 11 per cent over the last decade.  The overall FMCG market is expected to increase at (CAGR) of 14.7 per cent to touch US$ 110.4 billion during 2012-2020, with the rural FMCG market anticipated to increase at a CAGR of 17.7 per cent to reach US$ 100 billion during 2012-2025.</w:t>
      </w:r>
    </w:p>
    <w:p w:rsidR="006C012C" w:rsidRDefault="006C012C" w:rsidP="006C012C">
      <w:pPr>
        <w:pStyle w:val="NormalWeb"/>
        <w:shd w:val="clear" w:color="auto" w:fill="FFFFFF"/>
        <w:spacing w:before="0" w:beforeAutospacing="0" w:after="0" w:afterAutospacing="0" w:line="301" w:lineRule="atLeast"/>
        <w:rPr>
          <w:rFonts w:ascii="Arial" w:hAnsi="Arial" w:cs="Arial"/>
          <w:color w:val="333333"/>
        </w:rPr>
      </w:pPr>
      <w:r>
        <w:rPr>
          <w:rFonts w:ascii="Arial" w:hAnsi="Arial" w:cs="Arial"/>
          <w:color w:val="333333"/>
        </w:rPr>
        <w:t>Food products is the leading segment, accounting for 43 per cent of the overall market. Personal care (22 per cent) and fabric care (12 per cent) come next in terms of market share. </w:t>
      </w:r>
    </w:p>
    <w:p w:rsidR="00ED2D1E" w:rsidRDefault="006C012C" w:rsidP="006C012C">
      <w:pPr>
        <w:pStyle w:val="NormalWeb"/>
        <w:shd w:val="clear" w:color="auto" w:fill="FFFFFF"/>
        <w:spacing w:before="0" w:beforeAutospacing="0" w:after="0" w:afterAutospacing="0" w:line="301" w:lineRule="atLeast"/>
        <w:rPr>
          <w:rFonts w:ascii="Arial" w:hAnsi="Arial" w:cs="Arial"/>
          <w:color w:val="333333"/>
        </w:rPr>
      </w:pPr>
      <w:r>
        <w:rPr>
          <w:rFonts w:ascii="Arial" w:hAnsi="Arial" w:cs="Arial"/>
          <w:color w:val="333333"/>
        </w:rPr>
        <w:t xml:space="preserve">Growing awareness, easier access, and changing lifestyles have been the key growth drivers for the consumer market. </w:t>
      </w:r>
    </w:p>
    <w:p w:rsidR="00ED2D1E" w:rsidRDefault="00ED2D1E" w:rsidP="006C012C">
      <w:pPr>
        <w:pStyle w:val="NormalWeb"/>
        <w:shd w:val="clear" w:color="auto" w:fill="FFFFFF"/>
        <w:spacing w:before="0" w:beforeAutospacing="0" w:after="0" w:afterAutospacing="0" w:line="301" w:lineRule="atLeast"/>
        <w:rPr>
          <w:rFonts w:ascii="Arial" w:hAnsi="Arial" w:cs="Arial"/>
          <w:color w:val="333333"/>
        </w:rPr>
      </w:pPr>
    </w:p>
    <w:p w:rsidR="006C012C" w:rsidRDefault="006C012C" w:rsidP="006C012C">
      <w:pPr>
        <w:pStyle w:val="NormalWeb"/>
        <w:shd w:val="clear" w:color="auto" w:fill="FFFFFF"/>
        <w:spacing w:before="0" w:beforeAutospacing="0" w:after="0" w:afterAutospacing="0" w:line="301" w:lineRule="atLeast"/>
        <w:rPr>
          <w:rFonts w:ascii="Arial" w:hAnsi="Arial" w:cs="Arial"/>
          <w:color w:val="333333"/>
        </w:rPr>
      </w:pPr>
      <w:r>
        <w:rPr>
          <w:rFonts w:ascii="Arial" w:hAnsi="Arial" w:cs="Arial"/>
          <w:color w:val="333333"/>
        </w:rPr>
        <w:t>The Government of India's policies and regulatory frameworks such as relaxation of license rules and approval of 51 per cent foreign direct investment (FDI) in multi-brand and 100 per cent in single-brand retail are some of the major growth drivers for the consumer market.</w:t>
      </w:r>
    </w:p>
    <w:p w:rsidR="00ED2D1E" w:rsidRDefault="00ED2D1E" w:rsidP="006C012C">
      <w:pPr>
        <w:jc w:val="both"/>
        <w:rPr>
          <w:rFonts w:ascii="Arial" w:hAnsi="Arial" w:cs="Arial"/>
          <w:b/>
          <w:sz w:val="24"/>
          <w:szCs w:val="24"/>
          <w:u w:val="single"/>
        </w:rPr>
      </w:pPr>
    </w:p>
    <w:p w:rsidR="00ED2D1E" w:rsidRDefault="00ED2D1E" w:rsidP="006C012C">
      <w:pPr>
        <w:jc w:val="both"/>
        <w:rPr>
          <w:rFonts w:ascii="Arial" w:hAnsi="Arial" w:cs="Arial"/>
          <w:b/>
          <w:sz w:val="24"/>
          <w:szCs w:val="24"/>
          <w:u w:val="single"/>
        </w:rPr>
      </w:pPr>
    </w:p>
    <w:p w:rsidR="006C012C" w:rsidRDefault="006C012C" w:rsidP="006C012C">
      <w:pPr>
        <w:jc w:val="both"/>
        <w:rPr>
          <w:rFonts w:ascii="Arial" w:hAnsi="Arial" w:cs="Arial"/>
          <w:b/>
          <w:sz w:val="24"/>
          <w:szCs w:val="24"/>
          <w:u w:val="single"/>
        </w:rPr>
      </w:pPr>
      <w:r w:rsidRPr="001172CD">
        <w:rPr>
          <w:rFonts w:ascii="Arial" w:hAnsi="Arial" w:cs="Arial"/>
          <w:b/>
          <w:sz w:val="24"/>
          <w:szCs w:val="24"/>
          <w:u w:val="single"/>
        </w:rPr>
        <w:t>Economic Forecast relevant for Consumer Products sales</w:t>
      </w:r>
    </w:p>
    <w:p w:rsidR="006C012C" w:rsidRPr="001172CD" w:rsidRDefault="006C012C" w:rsidP="006C012C">
      <w:pPr>
        <w:jc w:val="both"/>
        <w:rPr>
          <w:rFonts w:ascii="Arial" w:hAnsi="Arial" w:cs="Arial"/>
          <w:b/>
          <w:sz w:val="24"/>
          <w:szCs w:val="24"/>
          <w:u w:val="single"/>
        </w:rPr>
      </w:pPr>
      <w:r w:rsidRPr="006C012C">
        <w:rPr>
          <w:rFonts w:ascii="Arial" w:hAnsi="Arial" w:cs="Arial"/>
          <w:b/>
          <w:noProof/>
          <w:sz w:val="24"/>
          <w:szCs w:val="24"/>
          <w:u w:val="single"/>
        </w:rPr>
        <w:drawing>
          <wp:inline distT="0" distB="0" distL="0" distR="0">
            <wp:extent cx="6184014" cy="4029739"/>
            <wp:effectExtent l="19050" t="0" r="7236" b="0"/>
            <wp:docPr id="17" name="Picture 1" descr="http://123.108.34.150/News/News/UploadFiles/fmc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3.108.34.150/News/News/UploadFiles/fmcga2.JPG"/>
                    <pic:cNvPicPr>
                      <a:picLocks noChangeAspect="1" noChangeArrowheads="1"/>
                    </pic:cNvPicPr>
                  </pic:nvPicPr>
                  <pic:blipFill>
                    <a:blip r:embed="rId12"/>
                    <a:srcRect/>
                    <a:stretch>
                      <a:fillRect/>
                    </a:stretch>
                  </pic:blipFill>
                  <pic:spPr bwMode="auto">
                    <a:xfrm>
                      <a:off x="0" y="0"/>
                      <a:ext cx="6187189" cy="4031808"/>
                    </a:xfrm>
                    <a:prstGeom prst="rect">
                      <a:avLst/>
                    </a:prstGeom>
                    <a:noFill/>
                    <a:ln w="9525">
                      <a:noFill/>
                      <a:miter lim="800000"/>
                      <a:headEnd/>
                      <a:tailEnd/>
                    </a:ln>
                  </pic:spPr>
                </pic:pic>
              </a:graphicData>
            </a:graphic>
          </wp:inline>
        </w:drawing>
      </w:r>
    </w:p>
    <w:p w:rsidR="006C012C" w:rsidRDefault="006C012C" w:rsidP="00090038">
      <w:pPr>
        <w:jc w:val="both"/>
        <w:rPr>
          <w:rFonts w:ascii="Arial" w:hAnsi="Arial" w:cs="Arial"/>
          <w:color w:val="000000"/>
          <w:sz w:val="24"/>
          <w:szCs w:val="24"/>
          <w:shd w:val="clear" w:color="auto" w:fill="FFFFFF"/>
        </w:rPr>
      </w:pPr>
    </w:p>
    <w:p w:rsidR="00351491" w:rsidRPr="00090038" w:rsidRDefault="00351491" w:rsidP="00090038">
      <w:pPr>
        <w:jc w:val="both"/>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drawing>
          <wp:inline distT="0" distB="0" distL="0" distR="0">
            <wp:extent cx="5943041" cy="6326372"/>
            <wp:effectExtent l="19050" t="0" r="559"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943600" cy="6326967"/>
                    </a:xfrm>
                    <a:prstGeom prst="rect">
                      <a:avLst/>
                    </a:prstGeom>
                    <a:noFill/>
                    <a:ln w="9525">
                      <a:noFill/>
                      <a:miter lim="800000"/>
                      <a:headEnd/>
                      <a:tailEnd/>
                    </a:ln>
                  </pic:spPr>
                </pic:pic>
              </a:graphicData>
            </a:graphic>
          </wp:inline>
        </w:drawing>
      </w:r>
    </w:p>
    <w:p w:rsidR="00040C27" w:rsidRDefault="00040C27" w:rsidP="00090038">
      <w:pPr>
        <w:jc w:val="both"/>
        <w:rPr>
          <w:rFonts w:ascii="Arial" w:hAnsi="Arial" w:cs="Arial"/>
          <w:color w:val="000000"/>
          <w:sz w:val="24"/>
          <w:szCs w:val="24"/>
          <w:shd w:val="clear" w:color="auto" w:fill="FFFFFF"/>
        </w:rPr>
      </w:pPr>
    </w:p>
    <w:p w:rsidR="00040C27" w:rsidRDefault="00B37A6D" w:rsidP="00090038">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Many of their products will be used in any average household. Many are still aspirational and out of reach of millions of consumers. That will change once the general income levels rise both in urban and rural India. </w:t>
      </w:r>
    </w:p>
    <w:p w:rsidR="00040C27" w:rsidRDefault="00040C27" w:rsidP="00040C27">
      <w:pPr>
        <w:ind w:left="720" w:firstLine="720"/>
        <w:jc w:val="both"/>
        <w:rPr>
          <w:rFonts w:ascii="Arial" w:hAnsi="Arial" w:cs="Arial"/>
          <w:color w:val="000000"/>
          <w:sz w:val="24"/>
          <w:szCs w:val="24"/>
          <w:shd w:val="clear" w:color="auto" w:fill="FFFFFF"/>
        </w:rPr>
      </w:pPr>
    </w:p>
    <w:p w:rsidR="00040C27" w:rsidRDefault="00040C27" w:rsidP="00090038">
      <w:pPr>
        <w:jc w:val="both"/>
        <w:rPr>
          <w:rFonts w:ascii="Arial" w:hAnsi="Arial" w:cs="Arial"/>
          <w:color w:val="000000"/>
          <w:sz w:val="24"/>
          <w:szCs w:val="24"/>
          <w:shd w:val="clear" w:color="auto" w:fill="FFFFFF"/>
        </w:rPr>
      </w:pPr>
    </w:p>
    <w:p w:rsidR="007A42FA" w:rsidRPr="008212DD" w:rsidRDefault="007A42FA" w:rsidP="00090038">
      <w:pPr>
        <w:jc w:val="both"/>
        <w:rPr>
          <w:rFonts w:ascii="Arial" w:hAnsi="Arial" w:cs="Arial"/>
          <w:b/>
          <w:sz w:val="24"/>
          <w:szCs w:val="24"/>
          <w:u w:val="single"/>
        </w:rPr>
      </w:pPr>
      <w:r w:rsidRPr="008212DD">
        <w:rPr>
          <w:rFonts w:ascii="Arial" w:hAnsi="Arial" w:cs="Arial"/>
          <w:b/>
          <w:sz w:val="24"/>
          <w:szCs w:val="24"/>
          <w:u w:val="single"/>
        </w:rPr>
        <w:t>Technical Analysis</w:t>
      </w:r>
    </w:p>
    <w:p w:rsidR="007A42FA" w:rsidRPr="00090038" w:rsidRDefault="007A42FA" w:rsidP="00090038">
      <w:pPr>
        <w:jc w:val="both"/>
        <w:rPr>
          <w:rFonts w:ascii="Arial" w:hAnsi="Arial" w:cs="Arial"/>
          <w:sz w:val="24"/>
          <w:szCs w:val="24"/>
        </w:rPr>
      </w:pPr>
      <w:r w:rsidRPr="00090038">
        <w:rPr>
          <w:rFonts w:ascii="Arial" w:hAnsi="Arial" w:cs="Arial"/>
          <w:noProof/>
          <w:sz w:val="24"/>
          <w:szCs w:val="24"/>
        </w:rPr>
        <w:drawing>
          <wp:inline distT="0" distB="0" distL="0" distR="0">
            <wp:extent cx="5943600" cy="294513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2945130"/>
                    </a:xfrm>
                    <a:prstGeom prst="rect">
                      <a:avLst/>
                    </a:prstGeom>
                    <a:noFill/>
                    <a:ln w="9525">
                      <a:noFill/>
                      <a:miter lim="800000"/>
                      <a:headEnd/>
                      <a:tailEnd/>
                    </a:ln>
                  </pic:spPr>
                </pic:pic>
              </a:graphicData>
            </a:graphic>
          </wp:inline>
        </w:drawing>
      </w:r>
    </w:p>
    <w:p w:rsidR="007A42FA" w:rsidRDefault="007A42FA" w:rsidP="00090038">
      <w:pPr>
        <w:jc w:val="both"/>
        <w:rPr>
          <w:rFonts w:ascii="Arial" w:hAnsi="Arial" w:cs="Arial"/>
          <w:sz w:val="24"/>
          <w:szCs w:val="24"/>
        </w:rPr>
      </w:pPr>
      <w:r w:rsidRPr="00090038">
        <w:rPr>
          <w:rFonts w:ascii="Arial" w:hAnsi="Arial" w:cs="Arial"/>
          <w:sz w:val="24"/>
          <w:szCs w:val="24"/>
        </w:rPr>
        <w:t>Stock has outperformed the Nifty and is currently above its moving average. YTM the stock has given 16% returns.</w:t>
      </w:r>
      <w:r w:rsidR="00B93D98">
        <w:rPr>
          <w:rFonts w:ascii="Arial" w:hAnsi="Arial" w:cs="Arial"/>
          <w:sz w:val="24"/>
          <w:szCs w:val="24"/>
        </w:rPr>
        <w:t xml:space="preserve"> NIFTY on the other hand as just about given returns of 5%</w:t>
      </w:r>
    </w:p>
    <w:p w:rsidR="00B82BA8" w:rsidRDefault="00B82BA8" w:rsidP="00090038">
      <w:pPr>
        <w:jc w:val="both"/>
        <w:rPr>
          <w:rFonts w:ascii="Arial" w:hAnsi="Arial" w:cs="Arial"/>
          <w:sz w:val="24"/>
          <w:szCs w:val="24"/>
        </w:rPr>
      </w:pPr>
      <w:r>
        <w:rPr>
          <w:rFonts w:ascii="Arial" w:hAnsi="Arial" w:cs="Arial"/>
          <w:sz w:val="24"/>
          <w:szCs w:val="24"/>
        </w:rPr>
        <w:t>The stock has convincingly outperformed the FMCG index also over the past 1 year.</w:t>
      </w:r>
    </w:p>
    <w:p w:rsidR="00B82BA8" w:rsidRDefault="00B82BA8" w:rsidP="00090038">
      <w:pPr>
        <w:jc w:val="both"/>
        <w:rPr>
          <w:rFonts w:ascii="Arial" w:hAnsi="Arial" w:cs="Arial"/>
          <w:sz w:val="24"/>
          <w:szCs w:val="24"/>
        </w:rPr>
      </w:pPr>
      <w:r>
        <w:rPr>
          <w:rFonts w:ascii="Arial" w:hAnsi="Arial" w:cs="Arial"/>
          <w:noProof/>
          <w:sz w:val="24"/>
          <w:szCs w:val="24"/>
        </w:rPr>
        <w:drawing>
          <wp:inline distT="0" distB="0" distL="0" distR="0">
            <wp:extent cx="5943600" cy="290258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5943600" cy="2902585"/>
                    </a:xfrm>
                    <a:prstGeom prst="rect">
                      <a:avLst/>
                    </a:prstGeom>
                    <a:noFill/>
                    <a:ln w="9525">
                      <a:noFill/>
                      <a:miter lim="800000"/>
                      <a:headEnd/>
                      <a:tailEnd/>
                    </a:ln>
                  </pic:spPr>
                </pic:pic>
              </a:graphicData>
            </a:graphic>
          </wp:inline>
        </w:drawing>
      </w:r>
    </w:p>
    <w:p w:rsidR="003F21D9" w:rsidRDefault="003F21D9" w:rsidP="00090038">
      <w:pPr>
        <w:jc w:val="both"/>
        <w:rPr>
          <w:rFonts w:ascii="Arial" w:hAnsi="Arial" w:cs="Arial"/>
          <w:b/>
          <w:sz w:val="24"/>
          <w:szCs w:val="24"/>
        </w:rPr>
      </w:pPr>
    </w:p>
    <w:p w:rsidR="003F21D9" w:rsidRDefault="003F21D9" w:rsidP="00090038">
      <w:pPr>
        <w:jc w:val="both"/>
        <w:rPr>
          <w:rFonts w:ascii="Arial" w:hAnsi="Arial" w:cs="Arial"/>
          <w:b/>
          <w:sz w:val="24"/>
          <w:szCs w:val="24"/>
        </w:rPr>
      </w:pPr>
    </w:p>
    <w:p w:rsidR="003F21D9" w:rsidRDefault="003F21D9" w:rsidP="00090038">
      <w:pPr>
        <w:jc w:val="both"/>
        <w:rPr>
          <w:rFonts w:ascii="Arial" w:hAnsi="Arial" w:cs="Arial"/>
          <w:b/>
          <w:sz w:val="24"/>
          <w:szCs w:val="24"/>
        </w:rPr>
      </w:pPr>
    </w:p>
    <w:p w:rsidR="003F21D9" w:rsidRDefault="003F21D9" w:rsidP="00090038">
      <w:pPr>
        <w:jc w:val="both"/>
        <w:rPr>
          <w:rFonts w:ascii="Arial" w:hAnsi="Arial" w:cs="Arial"/>
          <w:sz w:val="24"/>
          <w:szCs w:val="24"/>
        </w:rPr>
      </w:pPr>
      <w:r w:rsidRPr="003F21D9">
        <w:rPr>
          <w:rFonts w:ascii="Arial" w:hAnsi="Arial" w:cs="Arial"/>
          <w:b/>
          <w:sz w:val="24"/>
          <w:szCs w:val="24"/>
        </w:rPr>
        <w:t>William % R</w:t>
      </w:r>
      <w:r>
        <w:rPr>
          <w:rFonts w:ascii="Arial" w:hAnsi="Arial" w:cs="Arial"/>
          <w:sz w:val="24"/>
          <w:szCs w:val="24"/>
        </w:rPr>
        <w:t xml:space="preserve">: </w:t>
      </w:r>
    </w:p>
    <w:p w:rsidR="003F21D9" w:rsidRDefault="003F21D9" w:rsidP="00090038">
      <w:pPr>
        <w:jc w:val="both"/>
        <w:rPr>
          <w:rFonts w:ascii="Georgia" w:hAnsi="Georgia"/>
          <w:color w:val="22313F"/>
          <w:sz w:val="27"/>
          <w:szCs w:val="27"/>
          <w:shd w:val="clear" w:color="auto" w:fill="FFFFFF"/>
        </w:rPr>
      </w:pPr>
      <w:r>
        <w:rPr>
          <w:rFonts w:ascii="Georgia" w:hAnsi="Georgia"/>
          <w:color w:val="22313F"/>
          <w:shd w:val="clear" w:color="auto" w:fill="FFFFFF"/>
        </w:rPr>
        <w:t>Williams %R reflects the level of the close relative to the highest high for the look-back period.</w:t>
      </w:r>
      <w:r>
        <w:rPr>
          <w:rStyle w:val="apple-converted-space"/>
          <w:rFonts w:ascii="Georgia" w:hAnsi="Georgia"/>
          <w:color w:val="22313F"/>
          <w:shd w:val="clear" w:color="auto" w:fill="FFFFFF"/>
        </w:rPr>
        <w:t> </w:t>
      </w:r>
      <w:r>
        <w:rPr>
          <w:rFonts w:ascii="Georgia" w:hAnsi="Georgia"/>
          <w:color w:val="22313F"/>
          <w:sz w:val="27"/>
          <w:szCs w:val="27"/>
          <w:shd w:val="clear" w:color="auto" w:fill="FFFFFF"/>
        </w:rPr>
        <w:t>Williams %R oscillates from 0 to -100. Readings from 0 to -20 are considered overbought. Readings from -80 to -100 are considered oversold</w:t>
      </w:r>
    </w:p>
    <w:p w:rsidR="003F21D9" w:rsidRDefault="003F21D9" w:rsidP="00090038">
      <w:pPr>
        <w:jc w:val="both"/>
        <w:rPr>
          <w:rFonts w:ascii="Arial" w:hAnsi="Arial" w:cs="Arial"/>
          <w:sz w:val="24"/>
          <w:szCs w:val="24"/>
        </w:rPr>
      </w:pPr>
      <w:r>
        <w:rPr>
          <w:rFonts w:ascii="Arial" w:hAnsi="Arial" w:cs="Arial"/>
          <w:noProof/>
          <w:sz w:val="24"/>
          <w:szCs w:val="24"/>
        </w:rPr>
        <w:drawing>
          <wp:inline distT="0" distB="0" distL="0" distR="0">
            <wp:extent cx="5932805" cy="112712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32805" cy="1127125"/>
                    </a:xfrm>
                    <a:prstGeom prst="rect">
                      <a:avLst/>
                    </a:prstGeom>
                    <a:noFill/>
                    <a:ln w="9525">
                      <a:noFill/>
                      <a:miter lim="800000"/>
                      <a:headEnd/>
                      <a:tailEnd/>
                    </a:ln>
                  </pic:spPr>
                </pic:pic>
              </a:graphicData>
            </a:graphic>
          </wp:inline>
        </w:drawing>
      </w:r>
    </w:p>
    <w:p w:rsidR="003F21D9" w:rsidRDefault="003F21D9" w:rsidP="00090038">
      <w:pPr>
        <w:jc w:val="both"/>
        <w:rPr>
          <w:rFonts w:ascii="Arial" w:hAnsi="Arial" w:cs="Arial"/>
          <w:sz w:val="24"/>
          <w:szCs w:val="24"/>
        </w:rPr>
      </w:pPr>
    </w:p>
    <w:p w:rsidR="003F21D9" w:rsidRDefault="003F21D9" w:rsidP="00090038">
      <w:pPr>
        <w:jc w:val="both"/>
        <w:rPr>
          <w:rFonts w:ascii="Arial" w:hAnsi="Arial" w:cs="Arial"/>
          <w:sz w:val="24"/>
          <w:szCs w:val="24"/>
        </w:rPr>
      </w:pPr>
      <w:r w:rsidRPr="003F21D9">
        <w:rPr>
          <w:rFonts w:ascii="Arial" w:hAnsi="Arial" w:cs="Arial"/>
          <w:b/>
          <w:sz w:val="24"/>
          <w:szCs w:val="24"/>
          <w:u w:val="single"/>
        </w:rPr>
        <w:t>Relative Strength Index</w:t>
      </w:r>
      <w:r>
        <w:rPr>
          <w:rFonts w:ascii="Arial" w:hAnsi="Arial" w:cs="Arial"/>
          <w:sz w:val="24"/>
          <w:szCs w:val="24"/>
        </w:rPr>
        <w:t xml:space="preserve"> : </w:t>
      </w:r>
    </w:p>
    <w:p w:rsidR="003F21D9" w:rsidRPr="00090038" w:rsidRDefault="003F21D9" w:rsidP="00090038">
      <w:pPr>
        <w:jc w:val="both"/>
        <w:rPr>
          <w:rFonts w:ascii="Arial" w:hAnsi="Arial" w:cs="Arial"/>
          <w:sz w:val="24"/>
          <w:szCs w:val="24"/>
        </w:rPr>
      </w:pPr>
      <w:r>
        <w:rPr>
          <w:rFonts w:ascii="Arial" w:hAnsi="Arial" w:cs="Arial"/>
          <w:sz w:val="24"/>
          <w:szCs w:val="24"/>
        </w:rPr>
        <w:t xml:space="preserve">50 shows that the stock is neither over bought nor over sold. </w:t>
      </w:r>
      <w:r>
        <w:rPr>
          <w:rFonts w:ascii="Helvetica" w:hAnsi="Helvetica" w:cs="Helvetica"/>
          <w:color w:val="000000"/>
          <w:sz w:val="23"/>
          <w:szCs w:val="23"/>
          <w:shd w:val="clear" w:color="auto" w:fill="FFFFFF"/>
        </w:rPr>
        <w:t>An asset is deemed to be overbought once the RSI approaches the 70 level, meaning that it may be getting overvalued and is a good candidate for a</w:t>
      </w:r>
      <w:r>
        <w:rPr>
          <w:rStyle w:val="apple-converted-space"/>
          <w:rFonts w:ascii="Helvetica" w:hAnsi="Helvetica" w:cs="Helvetica"/>
          <w:color w:val="000000"/>
          <w:sz w:val="23"/>
          <w:szCs w:val="23"/>
          <w:shd w:val="clear" w:color="auto" w:fill="FFFFFF"/>
        </w:rPr>
        <w:t> </w:t>
      </w:r>
      <w:hyperlink r:id="rId17" w:history="1">
        <w:r>
          <w:rPr>
            <w:rStyle w:val="Hyperlink"/>
            <w:rFonts w:ascii="Helvetica" w:hAnsi="Helvetica" w:cs="Helvetica"/>
            <w:color w:val="005B9D"/>
            <w:sz w:val="23"/>
            <w:szCs w:val="23"/>
          </w:rPr>
          <w:t>pullback</w:t>
        </w:r>
      </w:hyperlink>
      <w:r>
        <w:rPr>
          <w:rFonts w:ascii="Helvetica" w:hAnsi="Helvetica" w:cs="Helvetica"/>
          <w:color w:val="000000"/>
          <w:sz w:val="23"/>
          <w:szCs w:val="23"/>
          <w:shd w:val="clear" w:color="auto" w:fill="FFFFFF"/>
        </w:rPr>
        <w:t>. Likewise, if the RSI approaches 30, it is an indication that the asset may be getting oversold and therefore likely to become undervalued</w:t>
      </w:r>
      <w:r>
        <w:rPr>
          <w:rFonts w:ascii="Helvetica" w:hAnsi="Helvetica" w:cs="Helvetica"/>
          <w:color w:val="000000"/>
          <w:sz w:val="23"/>
          <w:szCs w:val="23"/>
        </w:rPr>
        <w:br/>
      </w:r>
      <w:r>
        <w:rPr>
          <w:rFonts w:ascii="Helvetica" w:hAnsi="Helvetica" w:cs="Helvetica"/>
          <w:color w:val="000000"/>
          <w:sz w:val="23"/>
          <w:szCs w:val="23"/>
        </w:rPr>
        <w:br/>
      </w:r>
      <w:r>
        <w:rPr>
          <w:rFonts w:ascii="Arial" w:hAnsi="Arial" w:cs="Arial"/>
          <w:noProof/>
          <w:sz w:val="24"/>
          <w:szCs w:val="24"/>
        </w:rPr>
        <w:drawing>
          <wp:inline distT="0" distB="0" distL="0" distR="0">
            <wp:extent cx="5932805" cy="112712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32805" cy="1127125"/>
                    </a:xfrm>
                    <a:prstGeom prst="rect">
                      <a:avLst/>
                    </a:prstGeom>
                    <a:noFill/>
                    <a:ln w="9525">
                      <a:noFill/>
                      <a:miter lim="800000"/>
                      <a:headEnd/>
                      <a:tailEnd/>
                    </a:ln>
                  </pic:spPr>
                </pic:pic>
              </a:graphicData>
            </a:graphic>
          </wp:inline>
        </w:drawing>
      </w:r>
    </w:p>
    <w:p w:rsidR="00CB7CE6" w:rsidRPr="008212DD" w:rsidRDefault="00351491" w:rsidP="00090038">
      <w:pPr>
        <w:jc w:val="both"/>
        <w:rPr>
          <w:rFonts w:ascii="Arial" w:hAnsi="Arial" w:cs="Arial"/>
          <w:b/>
          <w:sz w:val="24"/>
          <w:szCs w:val="24"/>
          <w:u w:val="single"/>
        </w:rPr>
      </w:pPr>
      <w:r w:rsidRPr="008212DD">
        <w:rPr>
          <w:rFonts w:ascii="Arial" w:hAnsi="Arial" w:cs="Arial"/>
          <w:b/>
          <w:sz w:val="24"/>
          <w:szCs w:val="24"/>
          <w:u w:val="single"/>
        </w:rPr>
        <w:t>S</w:t>
      </w:r>
      <w:r w:rsidR="00090038" w:rsidRPr="008212DD">
        <w:rPr>
          <w:rFonts w:ascii="Arial" w:hAnsi="Arial" w:cs="Arial"/>
          <w:b/>
          <w:sz w:val="24"/>
          <w:szCs w:val="24"/>
          <w:u w:val="single"/>
        </w:rPr>
        <w:t xml:space="preserve">ector </w:t>
      </w:r>
      <w:r w:rsidR="00CB7CE6" w:rsidRPr="008212DD">
        <w:rPr>
          <w:rFonts w:ascii="Arial" w:hAnsi="Arial" w:cs="Arial"/>
          <w:b/>
          <w:sz w:val="24"/>
          <w:szCs w:val="24"/>
          <w:u w:val="single"/>
        </w:rPr>
        <w:t>Analysis</w:t>
      </w:r>
    </w:p>
    <w:p w:rsidR="00CB7CE6" w:rsidRPr="00090038" w:rsidRDefault="00CB7CE6" w:rsidP="00090038">
      <w:pPr>
        <w:jc w:val="both"/>
        <w:rPr>
          <w:rFonts w:ascii="Arial" w:hAnsi="Arial" w:cs="Arial"/>
          <w:sz w:val="24"/>
          <w:szCs w:val="24"/>
        </w:rPr>
      </w:pPr>
      <w:r w:rsidRPr="00090038">
        <w:rPr>
          <w:rFonts w:ascii="Arial" w:hAnsi="Arial" w:cs="Arial"/>
          <w:noProof/>
          <w:sz w:val="24"/>
          <w:szCs w:val="24"/>
        </w:rPr>
        <w:drawing>
          <wp:inline distT="0" distB="0" distL="0" distR="0">
            <wp:extent cx="6179731" cy="396594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79731" cy="3965944"/>
                    </a:xfrm>
                    <a:prstGeom prst="rect">
                      <a:avLst/>
                    </a:prstGeom>
                    <a:noFill/>
                    <a:ln w="9525">
                      <a:noFill/>
                      <a:miter lim="800000"/>
                      <a:headEnd/>
                      <a:tailEnd/>
                    </a:ln>
                  </pic:spPr>
                </pic:pic>
              </a:graphicData>
            </a:graphic>
          </wp:inline>
        </w:drawing>
      </w:r>
    </w:p>
    <w:p w:rsidR="00CB7CE6" w:rsidRPr="00090038" w:rsidRDefault="00090038" w:rsidP="00090038">
      <w:pPr>
        <w:jc w:val="both"/>
        <w:rPr>
          <w:rFonts w:ascii="Arial" w:hAnsi="Arial" w:cs="Arial"/>
          <w:sz w:val="24"/>
          <w:szCs w:val="24"/>
        </w:rPr>
      </w:pPr>
      <w:r>
        <w:rPr>
          <w:rFonts w:ascii="Arial" w:hAnsi="Arial" w:cs="Arial"/>
          <w:sz w:val="24"/>
          <w:szCs w:val="24"/>
        </w:rPr>
        <w:t>In the above sector analysis we look at peer group companies to identify a comparative companies approach to valuation of the company we are interested in . Here we have tabulated the EPS, P/E, Net Profit Margin, Valuation multiples of MCap/Sales and MCap/Assets. This information is very helpful in looking at the sect</w:t>
      </w:r>
      <w:r w:rsidR="00564D3A">
        <w:rPr>
          <w:rFonts w:ascii="Arial" w:hAnsi="Arial" w:cs="Arial"/>
          <w:sz w:val="24"/>
          <w:szCs w:val="24"/>
        </w:rPr>
        <w:t>o</w:t>
      </w:r>
      <w:r>
        <w:rPr>
          <w:rFonts w:ascii="Arial" w:hAnsi="Arial" w:cs="Arial"/>
          <w:sz w:val="24"/>
          <w:szCs w:val="24"/>
        </w:rPr>
        <w:t xml:space="preserve">r as a snapshot and compare the same class of companies. </w:t>
      </w:r>
    </w:p>
    <w:p w:rsidR="00CB7CE6" w:rsidRPr="00A95C47" w:rsidRDefault="007A42FA" w:rsidP="00090038">
      <w:pPr>
        <w:jc w:val="both"/>
        <w:rPr>
          <w:rFonts w:ascii="Arial" w:hAnsi="Arial" w:cs="Arial"/>
          <w:b/>
          <w:sz w:val="24"/>
          <w:szCs w:val="24"/>
          <w:u w:val="single"/>
        </w:rPr>
      </w:pPr>
      <w:r w:rsidRPr="00A95C47">
        <w:rPr>
          <w:rFonts w:ascii="Arial" w:hAnsi="Arial" w:cs="Arial"/>
          <w:b/>
          <w:sz w:val="24"/>
          <w:szCs w:val="24"/>
          <w:u w:val="single"/>
        </w:rPr>
        <w:t>Key Financial Observation</w:t>
      </w:r>
      <w:r w:rsidRPr="00A95C47">
        <w:rPr>
          <w:rFonts w:ascii="Arial" w:hAnsi="Arial" w:cs="Arial"/>
          <w:b/>
          <w:sz w:val="24"/>
          <w:szCs w:val="24"/>
          <w:u w:val="single"/>
        </w:rPr>
        <w:tab/>
      </w:r>
      <w:r w:rsidR="00A95C47">
        <w:rPr>
          <w:rFonts w:ascii="Arial" w:hAnsi="Arial" w:cs="Arial"/>
          <w:b/>
          <w:sz w:val="24"/>
          <w:szCs w:val="24"/>
          <w:u w:val="single"/>
        </w:rPr>
        <w:t>:-</w:t>
      </w:r>
    </w:p>
    <w:p w:rsidR="00090038" w:rsidRPr="00090038" w:rsidRDefault="00090038" w:rsidP="00090038">
      <w:pPr>
        <w:jc w:val="both"/>
        <w:rPr>
          <w:rFonts w:ascii="Arial" w:hAnsi="Arial" w:cs="Arial"/>
          <w:sz w:val="24"/>
          <w:szCs w:val="24"/>
        </w:rPr>
      </w:pPr>
      <w:r>
        <w:rPr>
          <w:rFonts w:ascii="Arial" w:hAnsi="Arial" w:cs="Arial"/>
          <w:sz w:val="24"/>
          <w:szCs w:val="24"/>
        </w:rPr>
        <w:t>Now we identify key trends from the Balance sheet firstly and Profit and Loss account of this company.</w:t>
      </w:r>
    </w:p>
    <w:p w:rsidR="007A42FA" w:rsidRPr="00090038" w:rsidRDefault="00CB7CE6" w:rsidP="00090038">
      <w:pPr>
        <w:jc w:val="both"/>
        <w:rPr>
          <w:rFonts w:ascii="Arial" w:hAnsi="Arial" w:cs="Arial"/>
          <w:sz w:val="24"/>
          <w:szCs w:val="24"/>
        </w:rPr>
      </w:pPr>
      <w:r w:rsidRPr="00090038">
        <w:rPr>
          <w:rFonts w:ascii="Arial" w:hAnsi="Arial" w:cs="Arial"/>
          <w:noProof/>
          <w:sz w:val="24"/>
          <w:szCs w:val="24"/>
        </w:rPr>
        <w:drawing>
          <wp:inline distT="0" distB="0" distL="0" distR="0">
            <wp:extent cx="6328587" cy="596486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346078" cy="5981351"/>
                    </a:xfrm>
                    <a:prstGeom prst="rect">
                      <a:avLst/>
                    </a:prstGeom>
                    <a:noFill/>
                    <a:ln w="9525">
                      <a:noFill/>
                      <a:miter lim="800000"/>
                      <a:headEnd/>
                      <a:tailEnd/>
                    </a:ln>
                  </pic:spPr>
                </pic:pic>
              </a:graphicData>
            </a:graphic>
          </wp:inline>
        </w:drawing>
      </w:r>
      <w:r w:rsidR="007A42FA" w:rsidRPr="00090038">
        <w:rPr>
          <w:rFonts w:ascii="Arial" w:hAnsi="Arial" w:cs="Arial"/>
          <w:sz w:val="24"/>
          <w:szCs w:val="24"/>
        </w:rPr>
        <w:tab/>
      </w:r>
      <w:r w:rsidR="007A42FA" w:rsidRPr="00090038">
        <w:rPr>
          <w:rFonts w:ascii="Arial" w:hAnsi="Arial" w:cs="Arial"/>
          <w:sz w:val="24"/>
          <w:szCs w:val="24"/>
        </w:rPr>
        <w:tab/>
      </w:r>
      <w:r w:rsidR="007A42FA" w:rsidRPr="00090038">
        <w:rPr>
          <w:rFonts w:ascii="Arial" w:hAnsi="Arial" w:cs="Arial"/>
          <w:sz w:val="24"/>
          <w:szCs w:val="24"/>
        </w:rPr>
        <w:tab/>
      </w:r>
      <w:r w:rsidR="007A42FA" w:rsidRPr="00090038">
        <w:rPr>
          <w:rFonts w:ascii="Arial" w:hAnsi="Arial" w:cs="Arial"/>
          <w:sz w:val="24"/>
          <w:szCs w:val="24"/>
        </w:rPr>
        <w:tab/>
      </w:r>
      <w:r w:rsidR="007A42FA"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8212DD">
        <w:rPr>
          <w:rFonts w:ascii="Arial" w:hAnsi="Arial" w:cs="Arial"/>
          <w:b/>
          <w:sz w:val="24"/>
          <w:szCs w:val="24"/>
          <w:u w:val="single"/>
        </w:rPr>
        <w:t>Over the past 4 years</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 xml:space="preserve">Reserves have gone up by 63% </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Net</w:t>
      </w:r>
      <w:r w:rsidR="00564D3A">
        <w:rPr>
          <w:rFonts w:ascii="Arial" w:hAnsi="Arial" w:cs="Arial"/>
          <w:sz w:val="24"/>
          <w:szCs w:val="24"/>
        </w:rPr>
        <w:t xml:space="preserve"> </w:t>
      </w:r>
      <w:r w:rsidRPr="00090038">
        <w:rPr>
          <w:rFonts w:ascii="Arial" w:hAnsi="Arial" w:cs="Arial"/>
          <w:sz w:val="24"/>
          <w:szCs w:val="24"/>
        </w:rPr>
        <w:t xml:space="preserve">worth has grown by 60% </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 xml:space="preserve">Debt is down 56% </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 xml:space="preserve">Investments in Fixed Assets has grown 18% </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Capital WIP is down 92%</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Investments is marginally down by 4%</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Inventories are up 38%</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Debtors are down 2.65%</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Cash is up 29.05%</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Loans and Advances are up 6.24%</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Current Liabilities are up 50%</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Provisions are down 14%</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Size of the Balance Sheet is up 12.56%</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Proportion of Equity and Debt in the business was</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B93D98" w:rsidRDefault="007A42FA" w:rsidP="00090038">
      <w:pPr>
        <w:jc w:val="both"/>
        <w:rPr>
          <w:rFonts w:ascii="Arial" w:hAnsi="Arial" w:cs="Arial"/>
          <w:sz w:val="24"/>
          <w:szCs w:val="24"/>
        </w:rPr>
      </w:pPr>
      <w:r w:rsidRPr="00090038">
        <w:rPr>
          <w:rFonts w:ascii="Arial" w:hAnsi="Arial" w:cs="Arial"/>
          <w:sz w:val="24"/>
          <w:szCs w:val="24"/>
        </w:rPr>
        <w:t>60%:40% 4 year back and today it is 84% to 16%</w:t>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noProof/>
          <w:sz w:val="24"/>
          <w:szCs w:val="24"/>
        </w:rPr>
        <w:drawing>
          <wp:inline distT="0" distB="0" distL="0" distR="0">
            <wp:extent cx="6080701" cy="2604977"/>
            <wp:effectExtent l="19050" t="0" r="15299" b="487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0038" w:rsidRPr="008212DD" w:rsidRDefault="007A42FA" w:rsidP="00090038">
      <w:pPr>
        <w:jc w:val="both"/>
        <w:rPr>
          <w:rFonts w:ascii="Arial" w:hAnsi="Arial" w:cs="Arial"/>
          <w:b/>
          <w:sz w:val="24"/>
          <w:szCs w:val="24"/>
          <w:u w:val="single"/>
        </w:rPr>
      </w:pPr>
      <w:r w:rsidRPr="008212DD">
        <w:rPr>
          <w:rFonts w:ascii="Arial" w:hAnsi="Arial" w:cs="Arial"/>
          <w:b/>
          <w:sz w:val="24"/>
          <w:szCs w:val="24"/>
          <w:u w:val="single"/>
        </w:rPr>
        <w:t>Movement of Components of Assets over the previous years.</w:t>
      </w:r>
      <w:r w:rsidRPr="008212DD">
        <w:rPr>
          <w:rFonts w:ascii="Arial" w:hAnsi="Arial" w:cs="Arial"/>
          <w:b/>
          <w:sz w:val="24"/>
          <w:szCs w:val="24"/>
          <w:u w:val="single"/>
        </w:rPr>
        <w:tab/>
      </w:r>
    </w:p>
    <w:p w:rsidR="00090038" w:rsidRDefault="00090038" w:rsidP="00090038">
      <w:pPr>
        <w:jc w:val="both"/>
        <w:rPr>
          <w:rFonts w:ascii="Arial" w:hAnsi="Arial" w:cs="Arial"/>
          <w:sz w:val="24"/>
          <w:szCs w:val="24"/>
        </w:rPr>
      </w:pPr>
      <w:r>
        <w:rPr>
          <w:rFonts w:ascii="Arial" w:hAnsi="Arial" w:cs="Arial"/>
          <w:sz w:val="24"/>
          <w:szCs w:val="24"/>
        </w:rPr>
        <w:t xml:space="preserve">Shareholders capital contribution to Reserves is a quick way to tell how inherently profitable a business is. Especially for older companies like Marico. Well run well managed firms have 15 x to 20 x times Shareholder’s capital contributed in accumulated reserves. </w:t>
      </w:r>
    </w:p>
    <w:p w:rsidR="00B93D98" w:rsidRDefault="00090038" w:rsidP="00090038">
      <w:pPr>
        <w:jc w:val="both"/>
        <w:rPr>
          <w:rFonts w:ascii="Arial" w:hAnsi="Arial" w:cs="Arial"/>
          <w:sz w:val="24"/>
          <w:szCs w:val="24"/>
        </w:rPr>
      </w:pPr>
      <w:r>
        <w:rPr>
          <w:rFonts w:ascii="Arial" w:hAnsi="Arial" w:cs="Arial"/>
          <w:sz w:val="24"/>
          <w:szCs w:val="24"/>
        </w:rPr>
        <w:t xml:space="preserve">Total Debt is a tiny fraction of the Capital Employed. This gives scope for more borrowing should need arise. </w:t>
      </w:r>
    </w:p>
    <w:p w:rsidR="007A42FA" w:rsidRDefault="00B93D98" w:rsidP="00090038">
      <w:pPr>
        <w:jc w:val="both"/>
        <w:rPr>
          <w:rFonts w:ascii="Arial" w:hAnsi="Arial" w:cs="Arial"/>
          <w:sz w:val="24"/>
          <w:szCs w:val="24"/>
        </w:rPr>
      </w:pPr>
      <w:r>
        <w:rPr>
          <w:rFonts w:ascii="Arial" w:hAnsi="Arial" w:cs="Arial"/>
          <w:sz w:val="24"/>
          <w:szCs w:val="24"/>
        </w:rPr>
        <w:t xml:space="preserve">Capital WIP has ebbed over the past two years. This business does not demand enormous cash infusion both in Capex and in working capital investment which is a very good thing to have. Their products do not change thus no major reinvestment in R&amp;D is required. </w:t>
      </w:r>
      <w:r w:rsidR="007A42FA" w:rsidRPr="00090038">
        <w:rPr>
          <w:rFonts w:ascii="Arial" w:hAnsi="Arial" w:cs="Arial"/>
          <w:sz w:val="24"/>
          <w:szCs w:val="24"/>
        </w:rPr>
        <w:tab/>
      </w:r>
    </w:p>
    <w:p w:rsidR="00B37A6D" w:rsidRDefault="00B37A6D" w:rsidP="00B37A6D">
      <w:pPr>
        <w:ind w:firstLine="720"/>
        <w:jc w:val="both"/>
        <w:rPr>
          <w:rFonts w:ascii="Arial" w:hAnsi="Arial" w:cs="Arial"/>
          <w:sz w:val="24"/>
          <w:szCs w:val="24"/>
        </w:rPr>
      </w:pPr>
      <w:r>
        <w:rPr>
          <w:noProof/>
        </w:rPr>
        <w:drawing>
          <wp:inline distT="0" distB="0" distL="0" distR="0">
            <wp:extent cx="5369560" cy="5103495"/>
            <wp:effectExtent l="19050" t="0" r="2540" b="0"/>
            <wp:docPr id="11" name="Picture 8" descr="http://www.indiantelevision.com/images24/marico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diantelevision.com/images24/marico_t2.jpg"/>
                    <pic:cNvPicPr>
                      <a:picLocks noChangeAspect="1" noChangeArrowheads="1"/>
                    </pic:cNvPicPr>
                  </pic:nvPicPr>
                  <pic:blipFill>
                    <a:blip r:embed="rId22"/>
                    <a:srcRect/>
                    <a:stretch>
                      <a:fillRect/>
                    </a:stretch>
                  </pic:blipFill>
                  <pic:spPr bwMode="auto">
                    <a:xfrm>
                      <a:off x="0" y="0"/>
                      <a:ext cx="5369560" cy="5103495"/>
                    </a:xfrm>
                    <a:prstGeom prst="rect">
                      <a:avLst/>
                    </a:prstGeom>
                    <a:noFill/>
                    <a:ln w="9525">
                      <a:noFill/>
                      <a:miter lim="800000"/>
                      <a:headEnd/>
                      <a:tailEnd/>
                    </a:ln>
                  </pic:spPr>
                </pic:pic>
              </a:graphicData>
            </a:graphic>
          </wp:inline>
        </w:drawing>
      </w:r>
    </w:p>
    <w:p w:rsidR="00B82BA8" w:rsidRDefault="00B82BA8" w:rsidP="00B37A6D">
      <w:pPr>
        <w:ind w:firstLine="720"/>
        <w:jc w:val="both"/>
        <w:rPr>
          <w:rFonts w:ascii="Arial" w:hAnsi="Arial" w:cs="Arial"/>
          <w:sz w:val="24"/>
          <w:szCs w:val="24"/>
        </w:rPr>
      </w:pPr>
      <w:r>
        <w:rPr>
          <w:rFonts w:ascii="Arial" w:hAnsi="Arial" w:cs="Arial"/>
          <w:sz w:val="24"/>
          <w:szCs w:val="24"/>
        </w:rPr>
        <w:t>Notice the upward trend line both in Total Income From Operations and Profit after tax.</w:t>
      </w:r>
    </w:p>
    <w:p w:rsidR="00B93D98" w:rsidRPr="00090038" w:rsidRDefault="00564D3A" w:rsidP="00090038">
      <w:pPr>
        <w:jc w:val="both"/>
        <w:rPr>
          <w:rFonts w:ascii="Arial" w:hAnsi="Arial" w:cs="Arial"/>
          <w:sz w:val="24"/>
          <w:szCs w:val="24"/>
        </w:rPr>
      </w:pPr>
      <w:r w:rsidRPr="00090038">
        <w:rPr>
          <w:rFonts w:ascii="Arial" w:hAnsi="Arial" w:cs="Arial"/>
          <w:noProof/>
          <w:sz w:val="24"/>
          <w:szCs w:val="24"/>
        </w:rPr>
        <w:drawing>
          <wp:inline distT="0" distB="0" distL="0" distR="0">
            <wp:extent cx="5943600" cy="572257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3600" cy="5722575"/>
                    </a:xfrm>
                    <a:prstGeom prst="rect">
                      <a:avLst/>
                    </a:prstGeom>
                    <a:noFill/>
                    <a:ln w="9525">
                      <a:noFill/>
                      <a:miter lim="800000"/>
                      <a:headEnd/>
                      <a:tailEnd/>
                    </a:ln>
                  </pic:spPr>
                </pic:pic>
              </a:graphicData>
            </a:graphic>
          </wp:inline>
        </w:drawing>
      </w:r>
    </w:p>
    <w:p w:rsidR="007A42FA" w:rsidRPr="00090038" w:rsidRDefault="007A42FA" w:rsidP="00090038">
      <w:pPr>
        <w:jc w:val="both"/>
        <w:rPr>
          <w:rFonts w:ascii="Arial" w:hAnsi="Arial" w:cs="Arial"/>
          <w:sz w:val="24"/>
          <w:szCs w:val="24"/>
        </w:rPr>
      </w:pP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Sales has increased 44%</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Cost of Goods Sold has Increased 43%</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Material Cost has increased 46%</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Power and Fuel cost has increased 134%</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Employee cost has increased just 5.81%</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Misc Expenses has increased 32.63%</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Gross Profit Increased by 40%</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EBITDA has increased 80%</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EBIT has increased 90%</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EBT has increased 105%</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Net Income has increased 82%</w:t>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r w:rsidRPr="00090038">
        <w:rPr>
          <w:rFonts w:ascii="Arial" w:hAnsi="Arial" w:cs="Arial"/>
          <w:sz w:val="24"/>
          <w:szCs w:val="24"/>
        </w:rPr>
        <w:tab/>
      </w:r>
    </w:p>
    <w:p w:rsidR="008212DD" w:rsidRDefault="007A42FA" w:rsidP="00090038">
      <w:pPr>
        <w:jc w:val="both"/>
        <w:rPr>
          <w:rFonts w:ascii="Arial" w:hAnsi="Arial" w:cs="Arial"/>
          <w:sz w:val="24"/>
          <w:szCs w:val="24"/>
        </w:rPr>
      </w:pPr>
      <w:r w:rsidRPr="00090038">
        <w:rPr>
          <w:rFonts w:ascii="Arial" w:hAnsi="Arial" w:cs="Arial"/>
          <w:sz w:val="24"/>
          <w:szCs w:val="24"/>
        </w:rPr>
        <w:t>Equity Dividends has increased 275%</w:t>
      </w:r>
      <w:r w:rsidRPr="00090038">
        <w:rPr>
          <w:rFonts w:ascii="Arial" w:hAnsi="Arial" w:cs="Arial"/>
          <w:sz w:val="24"/>
          <w:szCs w:val="24"/>
        </w:rPr>
        <w:tab/>
      </w:r>
      <w:r w:rsidRPr="00090038">
        <w:rPr>
          <w:rFonts w:ascii="Arial" w:hAnsi="Arial" w:cs="Arial"/>
          <w:sz w:val="24"/>
          <w:szCs w:val="24"/>
        </w:rPr>
        <w:tab/>
      </w:r>
    </w:p>
    <w:p w:rsidR="00A77612" w:rsidRPr="00A77612" w:rsidRDefault="00A77612" w:rsidP="00A77612">
      <w:pPr>
        <w:jc w:val="both"/>
        <w:rPr>
          <w:rFonts w:ascii="Arial" w:hAnsi="Arial" w:cs="Arial"/>
          <w:sz w:val="24"/>
          <w:szCs w:val="24"/>
        </w:rPr>
      </w:pPr>
      <w:r w:rsidRPr="00A77612">
        <w:rPr>
          <w:rFonts w:ascii="Arial" w:hAnsi="Arial" w:cs="Arial"/>
          <w:sz w:val="24"/>
          <w:szCs w:val="24"/>
        </w:rPr>
        <w:t>Beta:</w:t>
      </w:r>
      <w:r w:rsidRPr="00A77612">
        <w:rPr>
          <w:rFonts w:ascii="Arial" w:hAnsi="Arial" w:cs="Arial"/>
          <w:sz w:val="24"/>
          <w:szCs w:val="24"/>
        </w:rPr>
        <w:tab/>
      </w:r>
      <w:r w:rsidRPr="00A77612">
        <w:rPr>
          <w:rFonts w:ascii="Arial" w:hAnsi="Arial" w:cs="Arial"/>
          <w:sz w:val="24"/>
          <w:szCs w:val="24"/>
        </w:rPr>
        <w:tab/>
      </w:r>
      <w:r w:rsidRPr="00A77612">
        <w:rPr>
          <w:rFonts w:ascii="Arial" w:hAnsi="Arial" w:cs="Arial"/>
          <w:sz w:val="24"/>
          <w:szCs w:val="24"/>
        </w:rPr>
        <w:tab/>
      </w:r>
      <w:r w:rsidRPr="00A77612">
        <w:rPr>
          <w:rFonts w:ascii="Arial" w:hAnsi="Arial" w:cs="Arial"/>
          <w:sz w:val="24"/>
          <w:szCs w:val="24"/>
        </w:rPr>
        <w:tab/>
        <w:t>0.39</w:t>
      </w:r>
    </w:p>
    <w:p w:rsidR="00A77612" w:rsidRPr="00A77612" w:rsidRDefault="00A77612" w:rsidP="00A77612">
      <w:pPr>
        <w:jc w:val="both"/>
        <w:rPr>
          <w:rFonts w:ascii="Arial" w:hAnsi="Arial" w:cs="Arial"/>
          <w:sz w:val="24"/>
          <w:szCs w:val="24"/>
        </w:rPr>
      </w:pPr>
      <w:r w:rsidRPr="00A77612">
        <w:rPr>
          <w:rFonts w:ascii="Arial" w:hAnsi="Arial" w:cs="Arial"/>
          <w:sz w:val="24"/>
          <w:szCs w:val="24"/>
        </w:rPr>
        <w:t>Market Cap(Mil.):</w:t>
      </w:r>
      <w:r w:rsidRPr="00A77612">
        <w:rPr>
          <w:rFonts w:ascii="Arial" w:hAnsi="Arial" w:cs="Arial"/>
          <w:sz w:val="24"/>
          <w:szCs w:val="24"/>
        </w:rPr>
        <w:tab/>
      </w:r>
      <w:r w:rsidRPr="00A77612">
        <w:rPr>
          <w:rFonts w:ascii="Arial" w:hAnsi="Arial" w:cs="Arial"/>
          <w:sz w:val="24"/>
          <w:szCs w:val="24"/>
        </w:rPr>
        <w:tab/>
        <w:t>Rs321,188.09</w:t>
      </w:r>
    </w:p>
    <w:p w:rsidR="00A77612" w:rsidRPr="00A77612" w:rsidRDefault="00A77612" w:rsidP="00A77612">
      <w:pPr>
        <w:jc w:val="both"/>
        <w:rPr>
          <w:rFonts w:ascii="Arial" w:hAnsi="Arial" w:cs="Arial"/>
          <w:sz w:val="24"/>
          <w:szCs w:val="24"/>
        </w:rPr>
      </w:pPr>
      <w:r w:rsidRPr="00A77612">
        <w:rPr>
          <w:rFonts w:ascii="Arial" w:hAnsi="Arial" w:cs="Arial"/>
          <w:sz w:val="24"/>
          <w:szCs w:val="24"/>
        </w:rPr>
        <w:t>Shares Outstanding(Mil.):</w:t>
      </w:r>
      <w:r w:rsidRPr="00A77612">
        <w:rPr>
          <w:rFonts w:ascii="Arial" w:hAnsi="Arial" w:cs="Arial"/>
          <w:sz w:val="24"/>
          <w:szCs w:val="24"/>
        </w:rPr>
        <w:tab/>
        <w:t>1,290.17</w:t>
      </w:r>
    </w:p>
    <w:p w:rsidR="00A77612" w:rsidRPr="00A77612" w:rsidRDefault="00A77612" w:rsidP="00A77612">
      <w:pPr>
        <w:jc w:val="both"/>
        <w:rPr>
          <w:rFonts w:ascii="Arial" w:hAnsi="Arial" w:cs="Arial"/>
          <w:sz w:val="24"/>
          <w:szCs w:val="24"/>
        </w:rPr>
      </w:pPr>
      <w:r w:rsidRPr="00A77612">
        <w:rPr>
          <w:rFonts w:ascii="Arial" w:hAnsi="Arial" w:cs="Arial"/>
          <w:sz w:val="24"/>
          <w:szCs w:val="24"/>
        </w:rPr>
        <w:t>Dividend:</w:t>
      </w:r>
      <w:r w:rsidRPr="00A77612">
        <w:rPr>
          <w:rFonts w:ascii="Arial" w:hAnsi="Arial" w:cs="Arial"/>
          <w:sz w:val="24"/>
          <w:szCs w:val="24"/>
        </w:rPr>
        <w:tab/>
      </w:r>
      <w:r w:rsidRPr="00A77612">
        <w:rPr>
          <w:rFonts w:ascii="Arial" w:hAnsi="Arial" w:cs="Arial"/>
          <w:sz w:val="24"/>
          <w:szCs w:val="24"/>
        </w:rPr>
        <w:tab/>
      </w:r>
      <w:r w:rsidRPr="00A77612">
        <w:rPr>
          <w:rFonts w:ascii="Arial" w:hAnsi="Arial" w:cs="Arial"/>
          <w:sz w:val="24"/>
          <w:szCs w:val="24"/>
        </w:rPr>
        <w:tab/>
        <w:t>1.00</w:t>
      </w:r>
    </w:p>
    <w:p w:rsidR="00A77612" w:rsidRPr="00A77612" w:rsidRDefault="00A77612" w:rsidP="00A77612">
      <w:pPr>
        <w:jc w:val="both"/>
        <w:rPr>
          <w:rFonts w:ascii="Arial" w:hAnsi="Arial" w:cs="Arial"/>
          <w:sz w:val="24"/>
          <w:szCs w:val="24"/>
        </w:rPr>
      </w:pPr>
      <w:r w:rsidRPr="00A77612">
        <w:rPr>
          <w:rFonts w:ascii="Arial" w:hAnsi="Arial" w:cs="Arial"/>
          <w:sz w:val="24"/>
          <w:szCs w:val="24"/>
        </w:rPr>
        <w:t>Yield (%):</w:t>
      </w:r>
      <w:r w:rsidRPr="00A77612">
        <w:rPr>
          <w:rFonts w:ascii="Arial" w:hAnsi="Arial" w:cs="Arial"/>
          <w:sz w:val="24"/>
          <w:szCs w:val="24"/>
        </w:rPr>
        <w:tab/>
      </w:r>
      <w:r w:rsidRPr="00A77612">
        <w:rPr>
          <w:rFonts w:ascii="Arial" w:hAnsi="Arial" w:cs="Arial"/>
          <w:sz w:val="24"/>
          <w:szCs w:val="24"/>
        </w:rPr>
        <w:tab/>
      </w:r>
      <w:r w:rsidRPr="00A77612">
        <w:rPr>
          <w:rFonts w:ascii="Arial" w:hAnsi="Arial" w:cs="Arial"/>
          <w:sz w:val="24"/>
          <w:szCs w:val="24"/>
        </w:rPr>
        <w:tab/>
        <w:t>1.36</w:t>
      </w:r>
    </w:p>
    <w:p w:rsidR="00A77612" w:rsidRDefault="00A77612" w:rsidP="00090038">
      <w:pPr>
        <w:jc w:val="both"/>
        <w:rPr>
          <w:rFonts w:ascii="Arial" w:hAnsi="Arial" w:cs="Arial"/>
          <w:sz w:val="24"/>
          <w:szCs w:val="24"/>
        </w:rPr>
      </w:pPr>
    </w:p>
    <w:p w:rsidR="007A42FA" w:rsidRPr="008212DD" w:rsidRDefault="008212DD" w:rsidP="00090038">
      <w:pPr>
        <w:jc w:val="both"/>
        <w:rPr>
          <w:rFonts w:ascii="Arial" w:hAnsi="Arial" w:cs="Arial"/>
          <w:b/>
          <w:sz w:val="24"/>
          <w:szCs w:val="24"/>
          <w:u w:val="single"/>
        </w:rPr>
      </w:pPr>
      <w:r w:rsidRPr="008212DD">
        <w:rPr>
          <w:rFonts w:ascii="Arial" w:hAnsi="Arial" w:cs="Arial"/>
          <w:b/>
          <w:sz w:val="24"/>
          <w:szCs w:val="24"/>
          <w:u w:val="single"/>
        </w:rPr>
        <w:t>Margins</w:t>
      </w:r>
    </w:p>
    <w:p w:rsidR="007A42FA" w:rsidRPr="00090038" w:rsidRDefault="007A42FA" w:rsidP="00090038">
      <w:pPr>
        <w:jc w:val="both"/>
        <w:rPr>
          <w:rFonts w:ascii="Arial" w:hAnsi="Arial" w:cs="Arial"/>
          <w:sz w:val="24"/>
          <w:szCs w:val="24"/>
        </w:rPr>
      </w:pPr>
      <w:r w:rsidRPr="00090038">
        <w:rPr>
          <w:rFonts w:ascii="Arial" w:hAnsi="Arial" w:cs="Arial"/>
          <w:sz w:val="24"/>
          <w:szCs w:val="24"/>
        </w:rPr>
        <w:tab/>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Mar '12</w:t>
      </w:r>
      <w:r w:rsidRPr="00090038">
        <w:rPr>
          <w:rFonts w:ascii="Arial" w:hAnsi="Arial" w:cs="Arial"/>
          <w:sz w:val="24"/>
          <w:szCs w:val="24"/>
        </w:rPr>
        <w:tab/>
        <w:t>Mar '13</w:t>
      </w:r>
      <w:r w:rsidRPr="00090038">
        <w:rPr>
          <w:rFonts w:ascii="Arial" w:hAnsi="Arial" w:cs="Arial"/>
          <w:sz w:val="24"/>
          <w:szCs w:val="24"/>
        </w:rPr>
        <w:tab/>
        <w:t>Mar '14</w:t>
      </w:r>
      <w:r w:rsidRPr="00090038">
        <w:rPr>
          <w:rFonts w:ascii="Arial" w:hAnsi="Arial" w:cs="Arial"/>
          <w:sz w:val="24"/>
          <w:szCs w:val="24"/>
        </w:rPr>
        <w:tab/>
        <w:t>Mar '15</w:t>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Gross Margin</w:t>
      </w:r>
      <w:r w:rsidRPr="00090038">
        <w:rPr>
          <w:rFonts w:ascii="Arial" w:hAnsi="Arial" w:cs="Arial"/>
          <w:sz w:val="24"/>
          <w:szCs w:val="24"/>
        </w:rPr>
        <w:tab/>
        <w:t>45.53%</w:t>
      </w:r>
      <w:r w:rsidRPr="00090038">
        <w:rPr>
          <w:rFonts w:ascii="Arial" w:hAnsi="Arial" w:cs="Arial"/>
          <w:sz w:val="24"/>
          <w:szCs w:val="24"/>
        </w:rPr>
        <w:tab/>
        <w:t>50.27%</w:t>
      </w:r>
      <w:r w:rsidRPr="00090038">
        <w:rPr>
          <w:rFonts w:ascii="Arial" w:hAnsi="Arial" w:cs="Arial"/>
          <w:sz w:val="24"/>
          <w:szCs w:val="24"/>
        </w:rPr>
        <w:tab/>
        <w:t>47.83%</w:t>
      </w:r>
      <w:r w:rsidRPr="00090038">
        <w:rPr>
          <w:rFonts w:ascii="Arial" w:hAnsi="Arial" w:cs="Arial"/>
          <w:sz w:val="24"/>
          <w:szCs w:val="24"/>
        </w:rPr>
        <w:tab/>
        <w:t>44.69%</w:t>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EBITDA Margin</w:t>
      </w:r>
      <w:r w:rsidRPr="00090038">
        <w:rPr>
          <w:rFonts w:ascii="Arial" w:hAnsi="Arial" w:cs="Arial"/>
          <w:sz w:val="24"/>
          <w:szCs w:val="24"/>
        </w:rPr>
        <w:tab/>
        <w:t>12.08%</w:t>
      </w:r>
      <w:r w:rsidRPr="00090038">
        <w:rPr>
          <w:rFonts w:ascii="Arial" w:hAnsi="Arial" w:cs="Arial"/>
          <w:sz w:val="24"/>
          <w:szCs w:val="24"/>
        </w:rPr>
        <w:tab/>
        <w:t>13.61%</w:t>
      </w:r>
      <w:r w:rsidRPr="00090038">
        <w:rPr>
          <w:rFonts w:ascii="Arial" w:hAnsi="Arial" w:cs="Arial"/>
          <w:sz w:val="24"/>
          <w:szCs w:val="24"/>
        </w:rPr>
        <w:tab/>
        <w:t>15.94%</w:t>
      </w:r>
      <w:r w:rsidRPr="00090038">
        <w:rPr>
          <w:rFonts w:ascii="Arial" w:hAnsi="Arial" w:cs="Arial"/>
          <w:sz w:val="24"/>
          <w:szCs w:val="24"/>
        </w:rPr>
        <w:tab/>
        <w:t>15.15%</w:t>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EBIT Margin</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10.28%</w:t>
      </w:r>
      <w:r w:rsidRPr="00090038">
        <w:rPr>
          <w:rFonts w:ascii="Arial" w:hAnsi="Arial" w:cs="Arial"/>
          <w:sz w:val="24"/>
          <w:szCs w:val="24"/>
        </w:rPr>
        <w:tab/>
        <w:t>11.72%</w:t>
      </w:r>
      <w:r w:rsidRPr="00090038">
        <w:rPr>
          <w:rFonts w:ascii="Arial" w:hAnsi="Arial" w:cs="Arial"/>
          <w:sz w:val="24"/>
          <w:szCs w:val="24"/>
        </w:rPr>
        <w:tab/>
        <w:t>14.30%</w:t>
      </w:r>
      <w:r w:rsidRPr="00090038">
        <w:rPr>
          <w:rFonts w:ascii="Arial" w:hAnsi="Arial" w:cs="Arial"/>
          <w:sz w:val="24"/>
          <w:szCs w:val="24"/>
        </w:rPr>
        <w:tab/>
        <w:t>13.69%</w:t>
      </w:r>
      <w:r w:rsidRPr="00090038">
        <w:rPr>
          <w:rFonts w:ascii="Arial" w:hAnsi="Arial" w:cs="Arial"/>
          <w:sz w:val="24"/>
          <w:szCs w:val="24"/>
        </w:rPr>
        <w:tab/>
      </w:r>
      <w:r w:rsidRPr="00090038">
        <w:rPr>
          <w:rFonts w:ascii="Arial" w:hAnsi="Arial" w:cs="Arial"/>
          <w:sz w:val="24"/>
          <w:szCs w:val="24"/>
        </w:rPr>
        <w:tab/>
      </w:r>
    </w:p>
    <w:p w:rsidR="007A42FA" w:rsidRPr="00090038" w:rsidRDefault="007A42FA" w:rsidP="00090038">
      <w:pPr>
        <w:jc w:val="both"/>
        <w:rPr>
          <w:rFonts w:ascii="Arial" w:hAnsi="Arial" w:cs="Arial"/>
          <w:sz w:val="24"/>
          <w:szCs w:val="24"/>
        </w:rPr>
      </w:pPr>
      <w:r w:rsidRPr="00090038">
        <w:rPr>
          <w:rFonts w:ascii="Arial" w:hAnsi="Arial" w:cs="Arial"/>
          <w:sz w:val="24"/>
          <w:szCs w:val="24"/>
        </w:rPr>
        <w:t>EBT Margin</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9.99%</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12.00%</w:t>
      </w:r>
      <w:r w:rsidRPr="00090038">
        <w:rPr>
          <w:rFonts w:ascii="Arial" w:hAnsi="Arial" w:cs="Arial"/>
          <w:sz w:val="24"/>
          <w:szCs w:val="24"/>
        </w:rPr>
        <w:tab/>
        <w:t>14.80%</w:t>
      </w:r>
      <w:r w:rsidRPr="00090038">
        <w:rPr>
          <w:rFonts w:ascii="Arial" w:hAnsi="Arial" w:cs="Arial"/>
          <w:sz w:val="24"/>
          <w:szCs w:val="24"/>
        </w:rPr>
        <w:tab/>
        <w:t>14.31%</w:t>
      </w:r>
      <w:r w:rsidRPr="00090038">
        <w:rPr>
          <w:rFonts w:ascii="Arial" w:hAnsi="Arial" w:cs="Arial"/>
          <w:sz w:val="24"/>
          <w:szCs w:val="24"/>
        </w:rPr>
        <w:tab/>
      </w:r>
      <w:r w:rsidRPr="00090038">
        <w:rPr>
          <w:rFonts w:ascii="Arial" w:hAnsi="Arial" w:cs="Arial"/>
          <w:sz w:val="24"/>
          <w:szCs w:val="24"/>
        </w:rPr>
        <w:tab/>
      </w:r>
    </w:p>
    <w:p w:rsidR="0035254E" w:rsidRDefault="007A42FA" w:rsidP="00090038">
      <w:pPr>
        <w:jc w:val="both"/>
        <w:rPr>
          <w:rFonts w:ascii="Arial" w:hAnsi="Arial" w:cs="Arial"/>
          <w:sz w:val="24"/>
          <w:szCs w:val="24"/>
        </w:rPr>
      </w:pPr>
      <w:r w:rsidRPr="00090038">
        <w:rPr>
          <w:rFonts w:ascii="Arial" w:hAnsi="Arial" w:cs="Arial"/>
          <w:sz w:val="24"/>
          <w:szCs w:val="24"/>
        </w:rPr>
        <w:t>PAT  Margin</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8.03%</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8.82%</w:t>
      </w:r>
      <w:r w:rsidRPr="00090038">
        <w:rPr>
          <w:rFonts w:ascii="Arial" w:hAnsi="Arial" w:cs="Arial"/>
          <w:sz w:val="24"/>
          <w:szCs w:val="24"/>
        </w:rPr>
        <w:tab/>
      </w:r>
      <w:r w:rsidR="00090038">
        <w:rPr>
          <w:rFonts w:ascii="Arial" w:hAnsi="Arial" w:cs="Arial"/>
          <w:sz w:val="24"/>
          <w:szCs w:val="24"/>
        </w:rPr>
        <w:tab/>
      </w:r>
      <w:r w:rsidRPr="00090038">
        <w:rPr>
          <w:rFonts w:ascii="Arial" w:hAnsi="Arial" w:cs="Arial"/>
          <w:sz w:val="24"/>
          <w:szCs w:val="24"/>
        </w:rPr>
        <w:t>10.74%</w:t>
      </w:r>
      <w:r w:rsidRPr="00090038">
        <w:rPr>
          <w:rFonts w:ascii="Arial" w:hAnsi="Arial" w:cs="Arial"/>
          <w:sz w:val="24"/>
          <w:szCs w:val="24"/>
        </w:rPr>
        <w:tab/>
        <w:t>10.19%</w:t>
      </w:r>
    </w:p>
    <w:p w:rsidR="0035254E" w:rsidRPr="0035254E" w:rsidRDefault="0035254E" w:rsidP="0035254E">
      <w:pPr>
        <w:jc w:val="both"/>
        <w:rPr>
          <w:rFonts w:ascii="Arial" w:hAnsi="Arial" w:cs="Arial"/>
          <w:b/>
          <w:sz w:val="24"/>
          <w:szCs w:val="24"/>
        </w:rPr>
      </w:pPr>
      <w:r w:rsidRPr="0035254E">
        <w:rPr>
          <w:rFonts w:ascii="Arial" w:hAnsi="Arial" w:cs="Arial"/>
          <w:b/>
          <w:sz w:val="24"/>
          <w:szCs w:val="24"/>
        </w:rPr>
        <w:t>Turnover Ratios</w:t>
      </w:r>
      <w:r w:rsidRPr="0035254E">
        <w:rPr>
          <w:rFonts w:ascii="Arial" w:hAnsi="Arial" w:cs="Arial"/>
          <w:b/>
          <w:sz w:val="24"/>
          <w:szCs w:val="24"/>
        </w:rPr>
        <w:tab/>
      </w:r>
    </w:p>
    <w:p w:rsidR="0035254E" w:rsidRPr="0035254E" w:rsidRDefault="0035254E" w:rsidP="0035254E">
      <w:pPr>
        <w:ind w:left="1440" w:firstLine="720"/>
        <w:jc w:val="both"/>
        <w:rPr>
          <w:rFonts w:ascii="Arial" w:hAnsi="Arial" w:cs="Arial"/>
          <w:sz w:val="24"/>
          <w:szCs w:val="24"/>
        </w:rPr>
      </w:pPr>
      <w:r>
        <w:rPr>
          <w:rFonts w:ascii="Arial" w:hAnsi="Arial" w:cs="Arial"/>
          <w:sz w:val="24"/>
          <w:szCs w:val="24"/>
        </w:rPr>
        <w:t xml:space="preserve">Mar’12 </w:t>
      </w:r>
      <w:r>
        <w:rPr>
          <w:rFonts w:ascii="Arial" w:hAnsi="Arial" w:cs="Arial"/>
          <w:sz w:val="24"/>
          <w:szCs w:val="24"/>
        </w:rPr>
        <w:tab/>
        <w:t>Mar’</w:t>
      </w:r>
      <w:r w:rsidRPr="0035254E">
        <w:rPr>
          <w:rFonts w:ascii="Arial" w:hAnsi="Arial" w:cs="Arial"/>
          <w:sz w:val="24"/>
          <w:szCs w:val="24"/>
        </w:rPr>
        <w:t>13</w:t>
      </w:r>
      <w:r>
        <w:rPr>
          <w:rFonts w:ascii="Arial" w:hAnsi="Arial" w:cs="Arial"/>
          <w:sz w:val="24"/>
          <w:szCs w:val="24"/>
        </w:rPr>
        <w:t xml:space="preserve"> </w:t>
      </w:r>
      <w:r>
        <w:rPr>
          <w:rFonts w:ascii="Arial" w:hAnsi="Arial" w:cs="Arial"/>
          <w:sz w:val="24"/>
          <w:szCs w:val="24"/>
        </w:rPr>
        <w:tab/>
        <w:t>Mar’</w:t>
      </w:r>
      <w:r w:rsidRPr="0035254E">
        <w:rPr>
          <w:rFonts w:ascii="Arial" w:hAnsi="Arial" w:cs="Arial"/>
          <w:sz w:val="24"/>
          <w:szCs w:val="24"/>
        </w:rPr>
        <w:t>14</w:t>
      </w:r>
      <w:r>
        <w:rPr>
          <w:rFonts w:ascii="Arial" w:hAnsi="Arial" w:cs="Arial"/>
          <w:sz w:val="24"/>
          <w:szCs w:val="24"/>
        </w:rPr>
        <w:t xml:space="preserve"> </w:t>
      </w:r>
      <w:r>
        <w:rPr>
          <w:rFonts w:ascii="Arial" w:hAnsi="Arial" w:cs="Arial"/>
          <w:sz w:val="24"/>
          <w:szCs w:val="24"/>
        </w:rPr>
        <w:tab/>
        <w:t>Mar’</w:t>
      </w:r>
      <w:r w:rsidRPr="0035254E">
        <w:rPr>
          <w:rFonts w:ascii="Arial" w:hAnsi="Arial" w:cs="Arial"/>
          <w:sz w:val="24"/>
          <w:szCs w:val="24"/>
        </w:rPr>
        <w:t>15</w:t>
      </w:r>
    </w:p>
    <w:p w:rsidR="0035254E" w:rsidRPr="0035254E" w:rsidRDefault="0035254E" w:rsidP="0035254E">
      <w:pPr>
        <w:jc w:val="both"/>
        <w:rPr>
          <w:rFonts w:ascii="Arial" w:hAnsi="Arial" w:cs="Arial"/>
          <w:sz w:val="24"/>
          <w:szCs w:val="24"/>
        </w:rPr>
      </w:pPr>
      <w:r w:rsidRPr="0035254E">
        <w:rPr>
          <w:rFonts w:ascii="Arial" w:hAnsi="Arial" w:cs="Arial"/>
          <w:sz w:val="24"/>
          <w:szCs w:val="24"/>
        </w:rPr>
        <w:t>Fixed Assets</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3.28</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2.74</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2.83</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4.27</w:t>
      </w:r>
    </w:p>
    <w:p w:rsidR="0035254E" w:rsidRPr="0035254E" w:rsidRDefault="0035254E" w:rsidP="0035254E">
      <w:pPr>
        <w:jc w:val="both"/>
        <w:rPr>
          <w:rFonts w:ascii="Arial" w:hAnsi="Arial" w:cs="Arial"/>
          <w:sz w:val="24"/>
          <w:szCs w:val="24"/>
        </w:rPr>
      </w:pPr>
      <w:r w:rsidRPr="0035254E">
        <w:rPr>
          <w:rFonts w:ascii="Arial" w:hAnsi="Arial" w:cs="Arial"/>
          <w:sz w:val="24"/>
          <w:szCs w:val="24"/>
        </w:rPr>
        <w:t>Inventory</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6.03</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5.81</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5.66</w:t>
      </w:r>
      <w:r>
        <w:rPr>
          <w:rFonts w:ascii="Arial" w:hAnsi="Arial" w:cs="Arial"/>
          <w:sz w:val="24"/>
          <w:szCs w:val="24"/>
        </w:rPr>
        <w:tab/>
      </w:r>
      <w:r w:rsidRPr="0035254E">
        <w:rPr>
          <w:rFonts w:ascii="Arial" w:hAnsi="Arial" w:cs="Arial"/>
          <w:sz w:val="24"/>
          <w:szCs w:val="24"/>
        </w:rPr>
        <w:tab/>
        <w:t>6.41</w:t>
      </w:r>
    </w:p>
    <w:p w:rsidR="0035254E" w:rsidRPr="0035254E" w:rsidRDefault="0035254E" w:rsidP="0035254E">
      <w:pPr>
        <w:jc w:val="both"/>
        <w:rPr>
          <w:rFonts w:ascii="Arial" w:hAnsi="Arial" w:cs="Arial"/>
          <w:sz w:val="24"/>
          <w:szCs w:val="24"/>
        </w:rPr>
      </w:pPr>
      <w:r w:rsidRPr="0035254E">
        <w:rPr>
          <w:rFonts w:ascii="Arial" w:hAnsi="Arial" w:cs="Arial"/>
          <w:sz w:val="24"/>
          <w:szCs w:val="24"/>
        </w:rPr>
        <w:t>Debtors</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20.62</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22.72</w:t>
      </w:r>
      <w:r>
        <w:rPr>
          <w:rFonts w:ascii="Arial" w:hAnsi="Arial" w:cs="Arial"/>
          <w:sz w:val="24"/>
          <w:szCs w:val="24"/>
        </w:rPr>
        <w:tab/>
      </w:r>
      <w:r w:rsidRPr="0035254E">
        <w:rPr>
          <w:rFonts w:ascii="Arial" w:hAnsi="Arial" w:cs="Arial"/>
          <w:sz w:val="24"/>
          <w:szCs w:val="24"/>
        </w:rPr>
        <w:tab/>
        <w:t>22.36</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28.71</w:t>
      </w:r>
    </w:p>
    <w:p w:rsidR="00090038" w:rsidRDefault="0035254E" w:rsidP="0035254E">
      <w:pPr>
        <w:jc w:val="both"/>
        <w:rPr>
          <w:rFonts w:ascii="Arial" w:hAnsi="Arial" w:cs="Arial"/>
          <w:sz w:val="24"/>
          <w:szCs w:val="24"/>
        </w:rPr>
      </w:pPr>
      <w:r w:rsidRPr="0035254E">
        <w:rPr>
          <w:rFonts w:ascii="Arial" w:hAnsi="Arial" w:cs="Arial"/>
          <w:sz w:val="24"/>
          <w:szCs w:val="24"/>
        </w:rPr>
        <w:t>Interest Cover Ratio</w:t>
      </w:r>
      <w:r w:rsidRPr="0035254E">
        <w:rPr>
          <w:rFonts w:ascii="Arial" w:hAnsi="Arial" w:cs="Arial"/>
          <w:sz w:val="24"/>
          <w:szCs w:val="24"/>
        </w:rPr>
        <w:tab/>
        <w:t>10.44</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10.51</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21.16</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36.8</w:t>
      </w:r>
      <w:r w:rsidR="007A42FA" w:rsidRPr="00090038">
        <w:rPr>
          <w:rFonts w:ascii="Arial" w:hAnsi="Arial" w:cs="Arial"/>
          <w:sz w:val="24"/>
          <w:szCs w:val="24"/>
        </w:rPr>
        <w:tab/>
      </w:r>
    </w:p>
    <w:p w:rsidR="008212DD" w:rsidRPr="008212DD" w:rsidRDefault="008212DD" w:rsidP="008212DD">
      <w:pPr>
        <w:jc w:val="both"/>
        <w:rPr>
          <w:rFonts w:ascii="Arial" w:hAnsi="Arial" w:cs="Arial"/>
          <w:b/>
          <w:sz w:val="24"/>
          <w:szCs w:val="24"/>
          <w:u w:val="single"/>
        </w:rPr>
      </w:pPr>
      <w:r w:rsidRPr="008212DD">
        <w:rPr>
          <w:rFonts w:ascii="Arial" w:hAnsi="Arial" w:cs="Arial"/>
          <w:b/>
          <w:sz w:val="24"/>
          <w:szCs w:val="24"/>
          <w:u w:val="single"/>
        </w:rPr>
        <w:t>Annual Ratios (%)</w:t>
      </w:r>
    </w:p>
    <w:p w:rsidR="008212DD" w:rsidRPr="008212DD" w:rsidRDefault="008212DD" w:rsidP="008212DD">
      <w:pPr>
        <w:jc w:val="both"/>
        <w:rPr>
          <w:rFonts w:ascii="Arial" w:hAnsi="Arial" w:cs="Arial"/>
          <w:sz w:val="24"/>
          <w:szCs w:val="24"/>
        </w:rPr>
      </w:pPr>
      <w:r w:rsidRPr="008212DD">
        <w:rPr>
          <w:rFonts w:ascii="Arial" w:hAnsi="Arial" w:cs="Arial"/>
          <w:sz w:val="24"/>
          <w:szCs w:val="24"/>
        </w:rPr>
        <w:t xml:space="preserve"> </w:t>
      </w:r>
      <w:r w:rsidRPr="008212DD">
        <w:rPr>
          <w:rFonts w:ascii="Arial" w:hAnsi="Arial" w:cs="Arial"/>
          <w:sz w:val="24"/>
          <w:szCs w:val="24"/>
        </w:rPr>
        <w:tab/>
      </w:r>
      <w:r>
        <w:rPr>
          <w:rFonts w:ascii="Arial" w:hAnsi="Arial" w:cs="Arial"/>
          <w:sz w:val="24"/>
          <w:szCs w:val="24"/>
        </w:rPr>
        <w:tab/>
      </w:r>
      <w:r>
        <w:rPr>
          <w:rFonts w:ascii="Arial" w:hAnsi="Arial" w:cs="Arial"/>
          <w:sz w:val="24"/>
          <w:szCs w:val="24"/>
        </w:rPr>
        <w:tab/>
      </w:r>
      <w:r w:rsidRPr="008212DD">
        <w:rPr>
          <w:rFonts w:ascii="Arial" w:hAnsi="Arial" w:cs="Arial"/>
          <w:sz w:val="24"/>
          <w:szCs w:val="24"/>
        </w:rPr>
        <w:t>1-Year</w:t>
      </w:r>
      <w:r w:rsidRPr="008212DD">
        <w:rPr>
          <w:rFonts w:ascii="Arial" w:hAnsi="Arial" w:cs="Arial"/>
          <w:sz w:val="24"/>
          <w:szCs w:val="24"/>
        </w:rPr>
        <w:tab/>
        <w:t>3-Years</w:t>
      </w:r>
      <w:r w:rsidRPr="008212DD">
        <w:rPr>
          <w:rFonts w:ascii="Arial" w:hAnsi="Arial" w:cs="Arial"/>
          <w:sz w:val="24"/>
          <w:szCs w:val="24"/>
        </w:rPr>
        <w:tab/>
        <w:t>5-Years</w:t>
      </w:r>
    </w:p>
    <w:p w:rsidR="008212DD" w:rsidRPr="008212DD" w:rsidRDefault="008212DD" w:rsidP="008212DD">
      <w:pPr>
        <w:jc w:val="both"/>
        <w:rPr>
          <w:rFonts w:ascii="Arial" w:hAnsi="Arial" w:cs="Arial"/>
          <w:sz w:val="24"/>
          <w:szCs w:val="24"/>
        </w:rPr>
      </w:pPr>
      <w:r w:rsidRPr="008212DD">
        <w:rPr>
          <w:rFonts w:ascii="Arial" w:hAnsi="Arial" w:cs="Arial"/>
          <w:sz w:val="24"/>
          <w:szCs w:val="24"/>
        </w:rPr>
        <w:t>Growth</w:t>
      </w:r>
    </w:p>
    <w:p w:rsidR="008212DD" w:rsidRPr="008212DD" w:rsidRDefault="008212DD" w:rsidP="008212DD">
      <w:pPr>
        <w:jc w:val="both"/>
        <w:rPr>
          <w:rFonts w:ascii="Arial" w:hAnsi="Arial" w:cs="Arial"/>
          <w:sz w:val="24"/>
          <w:szCs w:val="24"/>
        </w:rPr>
      </w:pPr>
      <w:r w:rsidRPr="008212DD">
        <w:rPr>
          <w:rFonts w:ascii="Arial" w:hAnsi="Arial" w:cs="Arial"/>
          <w:sz w:val="24"/>
          <w:szCs w:val="24"/>
        </w:rPr>
        <w:t>Revenue</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22.33</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12.94</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16.59</w:t>
      </w:r>
    </w:p>
    <w:p w:rsidR="008212DD" w:rsidRPr="008212DD" w:rsidRDefault="008212DD" w:rsidP="008212DD">
      <w:pPr>
        <w:jc w:val="both"/>
        <w:rPr>
          <w:rFonts w:ascii="Arial" w:hAnsi="Arial" w:cs="Arial"/>
          <w:sz w:val="24"/>
          <w:szCs w:val="24"/>
        </w:rPr>
      </w:pPr>
      <w:r w:rsidRPr="008212DD">
        <w:rPr>
          <w:rFonts w:ascii="Arial" w:hAnsi="Arial" w:cs="Arial"/>
          <w:sz w:val="24"/>
          <w:szCs w:val="24"/>
        </w:rPr>
        <w:t>Net Profit</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16.02</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22.00</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20.15</w:t>
      </w:r>
    </w:p>
    <w:p w:rsidR="008212DD" w:rsidRPr="008212DD" w:rsidRDefault="008212DD" w:rsidP="008212DD">
      <w:pPr>
        <w:jc w:val="both"/>
        <w:rPr>
          <w:rFonts w:ascii="Arial" w:hAnsi="Arial" w:cs="Arial"/>
          <w:sz w:val="24"/>
          <w:szCs w:val="24"/>
        </w:rPr>
      </w:pPr>
      <w:r w:rsidRPr="008212DD">
        <w:rPr>
          <w:rFonts w:ascii="Arial" w:hAnsi="Arial" w:cs="Arial"/>
          <w:sz w:val="24"/>
          <w:szCs w:val="24"/>
        </w:rPr>
        <w:t>EPS</w:t>
      </w:r>
      <w:r w:rsidRPr="008212DD">
        <w:rPr>
          <w:rFonts w:ascii="Arial" w:hAnsi="Arial" w:cs="Arial"/>
          <w:sz w:val="24"/>
          <w:szCs w:val="24"/>
        </w:rPr>
        <w:tab/>
      </w:r>
      <w:r>
        <w:rPr>
          <w:rFonts w:ascii="Arial" w:hAnsi="Arial" w:cs="Arial"/>
          <w:sz w:val="24"/>
          <w:szCs w:val="24"/>
        </w:rPr>
        <w:tab/>
      </w:r>
      <w:r>
        <w:rPr>
          <w:rFonts w:ascii="Arial" w:hAnsi="Arial" w:cs="Arial"/>
          <w:sz w:val="24"/>
          <w:szCs w:val="24"/>
        </w:rPr>
        <w:tab/>
      </w:r>
      <w:r w:rsidRPr="008212DD">
        <w:rPr>
          <w:rFonts w:ascii="Arial" w:hAnsi="Arial" w:cs="Arial"/>
          <w:sz w:val="24"/>
          <w:szCs w:val="24"/>
        </w:rPr>
        <w:t>18.13</w:t>
      </w:r>
      <w:r>
        <w:rPr>
          <w:rFonts w:ascii="Arial" w:hAnsi="Arial" w:cs="Arial"/>
          <w:sz w:val="24"/>
          <w:szCs w:val="24"/>
        </w:rPr>
        <w:tab/>
      </w:r>
      <w:r w:rsidRPr="008212DD">
        <w:rPr>
          <w:rFonts w:ascii="Arial" w:hAnsi="Arial" w:cs="Arial"/>
          <w:sz w:val="24"/>
          <w:szCs w:val="24"/>
        </w:rPr>
        <w:tab/>
        <w:t>19.91</w:t>
      </w:r>
      <w:r>
        <w:rPr>
          <w:rFonts w:ascii="Arial" w:hAnsi="Arial" w:cs="Arial"/>
          <w:sz w:val="24"/>
          <w:szCs w:val="24"/>
        </w:rPr>
        <w:tab/>
      </w:r>
      <w:r w:rsidRPr="008212DD">
        <w:rPr>
          <w:rFonts w:ascii="Arial" w:hAnsi="Arial" w:cs="Arial"/>
          <w:sz w:val="24"/>
          <w:szCs w:val="24"/>
        </w:rPr>
        <w:tab/>
        <w:t>18.52</w:t>
      </w:r>
    </w:p>
    <w:p w:rsidR="008212DD" w:rsidRPr="008212DD" w:rsidRDefault="008212DD" w:rsidP="008212DD">
      <w:pPr>
        <w:jc w:val="both"/>
        <w:rPr>
          <w:rFonts w:ascii="Arial" w:hAnsi="Arial" w:cs="Arial"/>
          <w:sz w:val="24"/>
          <w:szCs w:val="24"/>
        </w:rPr>
      </w:pPr>
      <w:r w:rsidRPr="008212DD">
        <w:rPr>
          <w:rFonts w:ascii="Arial" w:hAnsi="Arial" w:cs="Arial"/>
          <w:sz w:val="24"/>
          <w:szCs w:val="24"/>
        </w:rPr>
        <w:t>Book Value</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33.85</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14.96</w:t>
      </w:r>
      <w:r>
        <w:rPr>
          <w:rFonts w:ascii="Arial" w:hAnsi="Arial" w:cs="Arial"/>
          <w:sz w:val="24"/>
          <w:szCs w:val="24"/>
        </w:rPr>
        <w:tab/>
      </w:r>
      <w:r w:rsidRPr="008212DD">
        <w:rPr>
          <w:rFonts w:ascii="Arial" w:hAnsi="Arial" w:cs="Arial"/>
          <w:sz w:val="24"/>
          <w:szCs w:val="24"/>
        </w:rPr>
        <w:tab/>
        <w:t>21.35</w:t>
      </w:r>
    </w:p>
    <w:p w:rsidR="008212DD" w:rsidRPr="008212DD" w:rsidRDefault="008212DD" w:rsidP="008212DD">
      <w:pPr>
        <w:jc w:val="both"/>
        <w:rPr>
          <w:rFonts w:ascii="Arial" w:hAnsi="Arial" w:cs="Arial"/>
          <w:b/>
          <w:sz w:val="24"/>
          <w:szCs w:val="24"/>
          <w:u w:val="single"/>
        </w:rPr>
      </w:pPr>
      <w:r w:rsidRPr="008212DD">
        <w:rPr>
          <w:rFonts w:ascii="Arial" w:hAnsi="Arial" w:cs="Arial"/>
          <w:b/>
          <w:sz w:val="24"/>
          <w:szCs w:val="24"/>
          <w:u w:val="single"/>
        </w:rPr>
        <w:t>Average</w:t>
      </w:r>
    </w:p>
    <w:p w:rsidR="008212DD" w:rsidRPr="008212DD" w:rsidRDefault="008212DD" w:rsidP="008212DD">
      <w:pPr>
        <w:jc w:val="both"/>
        <w:rPr>
          <w:rFonts w:ascii="Arial" w:hAnsi="Arial" w:cs="Arial"/>
          <w:sz w:val="24"/>
          <w:szCs w:val="24"/>
        </w:rPr>
      </w:pPr>
      <w:r w:rsidRPr="008212DD">
        <w:rPr>
          <w:rFonts w:ascii="Arial" w:hAnsi="Arial" w:cs="Arial"/>
          <w:sz w:val="24"/>
          <w:szCs w:val="24"/>
        </w:rPr>
        <w:t>Operating Margin</w:t>
      </w:r>
      <w:r w:rsidRPr="008212DD">
        <w:rPr>
          <w:rFonts w:ascii="Arial" w:hAnsi="Arial" w:cs="Arial"/>
          <w:sz w:val="24"/>
          <w:szCs w:val="24"/>
        </w:rPr>
        <w:tab/>
        <w:t>16.22</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15.87</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14.92</w:t>
      </w:r>
    </w:p>
    <w:p w:rsidR="008212DD" w:rsidRPr="008212DD" w:rsidRDefault="008212DD" w:rsidP="008212DD">
      <w:pPr>
        <w:jc w:val="both"/>
        <w:rPr>
          <w:rFonts w:ascii="Arial" w:hAnsi="Arial" w:cs="Arial"/>
          <w:sz w:val="24"/>
          <w:szCs w:val="24"/>
        </w:rPr>
      </w:pPr>
      <w:r w:rsidRPr="008212DD">
        <w:rPr>
          <w:rFonts w:ascii="Arial" w:hAnsi="Arial" w:cs="Arial"/>
          <w:sz w:val="24"/>
          <w:szCs w:val="24"/>
        </w:rPr>
        <w:t>Net Margin</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10.10</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9.83</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9.34</w:t>
      </w:r>
    </w:p>
    <w:p w:rsidR="008212DD" w:rsidRPr="008212DD" w:rsidRDefault="008212DD" w:rsidP="008212DD">
      <w:pPr>
        <w:jc w:val="both"/>
        <w:rPr>
          <w:rFonts w:ascii="Arial" w:hAnsi="Arial" w:cs="Arial"/>
          <w:sz w:val="24"/>
          <w:szCs w:val="24"/>
        </w:rPr>
      </w:pPr>
      <w:r w:rsidRPr="008212DD">
        <w:rPr>
          <w:rFonts w:ascii="Arial" w:hAnsi="Arial" w:cs="Arial"/>
          <w:sz w:val="24"/>
          <w:szCs w:val="24"/>
        </w:rPr>
        <w:t>Return on Networth</w:t>
      </w:r>
      <w:r w:rsidRPr="008212DD">
        <w:rPr>
          <w:rFonts w:ascii="Arial" w:hAnsi="Arial" w:cs="Arial"/>
          <w:sz w:val="24"/>
          <w:szCs w:val="24"/>
        </w:rPr>
        <w:tab/>
        <w:t>36.76</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30.96</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32.27</w:t>
      </w:r>
    </w:p>
    <w:p w:rsidR="008212DD" w:rsidRDefault="008212DD" w:rsidP="008212DD">
      <w:pPr>
        <w:jc w:val="both"/>
        <w:rPr>
          <w:rFonts w:ascii="Arial" w:hAnsi="Arial" w:cs="Arial"/>
          <w:sz w:val="24"/>
          <w:szCs w:val="24"/>
        </w:rPr>
      </w:pPr>
      <w:r>
        <w:rPr>
          <w:rFonts w:ascii="Arial" w:hAnsi="Arial" w:cs="Arial"/>
          <w:sz w:val="24"/>
          <w:szCs w:val="24"/>
        </w:rPr>
        <w:t>ROI</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8212DD">
        <w:rPr>
          <w:rFonts w:ascii="Arial" w:hAnsi="Arial" w:cs="Arial"/>
          <w:sz w:val="24"/>
          <w:szCs w:val="24"/>
        </w:rPr>
        <w:t>39.35</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31.55</w:t>
      </w:r>
      <w:r w:rsidRPr="008212DD">
        <w:rPr>
          <w:rFonts w:ascii="Arial" w:hAnsi="Arial" w:cs="Arial"/>
          <w:sz w:val="24"/>
          <w:szCs w:val="24"/>
        </w:rPr>
        <w:tab/>
      </w:r>
      <w:r>
        <w:rPr>
          <w:rFonts w:ascii="Arial" w:hAnsi="Arial" w:cs="Arial"/>
          <w:sz w:val="24"/>
          <w:szCs w:val="24"/>
        </w:rPr>
        <w:tab/>
      </w:r>
      <w:r w:rsidRPr="008212DD">
        <w:rPr>
          <w:rFonts w:ascii="Arial" w:hAnsi="Arial" w:cs="Arial"/>
          <w:sz w:val="24"/>
          <w:szCs w:val="24"/>
        </w:rPr>
        <w:t>29.81</w:t>
      </w:r>
    </w:p>
    <w:p w:rsidR="009F7933" w:rsidRDefault="009F7933" w:rsidP="008212DD">
      <w:pPr>
        <w:jc w:val="both"/>
        <w:rPr>
          <w:rFonts w:ascii="Arial" w:hAnsi="Arial" w:cs="Arial"/>
          <w:sz w:val="24"/>
          <w:szCs w:val="24"/>
        </w:rPr>
      </w:pPr>
      <w:r>
        <w:rPr>
          <w:rFonts w:ascii="Arial" w:hAnsi="Arial" w:cs="Arial"/>
          <w:noProof/>
          <w:sz w:val="24"/>
          <w:szCs w:val="24"/>
        </w:rPr>
        <w:drawing>
          <wp:inline distT="0" distB="0" distL="0" distR="0">
            <wp:extent cx="5943600" cy="222250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943600" cy="2222500"/>
                    </a:xfrm>
                    <a:prstGeom prst="rect">
                      <a:avLst/>
                    </a:prstGeom>
                    <a:noFill/>
                    <a:ln w="9525">
                      <a:noFill/>
                      <a:miter lim="800000"/>
                      <a:headEnd/>
                      <a:tailEnd/>
                    </a:ln>
                  </pic:spPr>
                </pic:pic>
              </a:graphicData>
            </a:graphic>
          </wp:inline>
        </w:drawing>
      </w:r>
    </w:p>
    <w:p w:rsidR="00B82BA8" w:rsidRPr="008212DD" w:rsidRDefault="00B82BA8" w:rsidP="00090038">
      <w:pPr>
        <w:jc w:val="both"/>
        <w:rPr>
          <w:rFonts w:ascii="Arial" w:hAnsi="Arial" w:cs="Arial"/>
          <w:b/>
          <w:sz w:val="24"/>
          <w:szCs w:val="24"/>
          <w:u w:val="single"/>
        </w:rPr>
      </w:pPr>
      <w:r w:rsidRPr="008212DD">
        <w:rPr>
          <w:rFonts w:ascii="Arial" w:hAnsi="Arial" w:cs="Arial"/>
          <w:b/>
          <w:sz w:val="24"/>
          <w:szCs w:val="24"/>
          <w:u w:val="single"/>
        </w:rPr>
        <w:t>Funds Invested in Marico</w:t>
      </w:r>
    </w:p>
    <w:p w:rsidR="00B82BA8" w:rsidRDefault="00B82BA8" w:rsidP="00090038">
      <w:pPr>
        <w:jc w:val="both"/>
        <w:rPr>
          <w:rFonts w:ascii="Arial" w:hAnsi="Arial" w:cs="Arial"/>
          <w:sz w:val="24"/>
          <w:szCs w:val="24"/>
        </w:rPr>
      </w:pPr>
      <w:r>
        <w:rPr>
          <w:rFonts w:ascii="Arial" w:hAnsi="Arial" w:cs="Arial"/>
          <w:sz w:val="24"/>
          <w:szCs w:val="24"/>
        </w:rPr>
        <w:t>Some of the best known funds have invested in Marico</w:t>
      </w:r>
    </w:p>
    <w:p w:rsidR="00B82BA8" w:rsidRPr="00B82BA8" w:rsidRDefault="00B82BA8" w:rsidP="00B82BA8">
      <w:pPr>
        <w:jc w:val="both"/>
        <w:rPr>
          <w:rFonts w:ascii="Arial" w:hAnsi="Arial" w:cs="Arial"/>
          <w:sz w:val="24"/>
          <w:szCs w:val="24"/>
        </w:rPr>
      </w:pPr>
      <w:r w:rsidRPr="00B82BA8">
        <w:rPr>
          <w:rFonts w:ascii="Arial" w:hAnsi="Arial" w:cs="Arial"/>
          <w:sz w:val="24"/>
          <w:szCs w:val="24"/>
        </w:rPr>
        <w:t>Franklin Templeton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UTI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Edelweiss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Birla Sun Life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Reliance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DHFL Pramerica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LIC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Kotak Mahindra Mutual Fund</w:t>
      </w:r>
      <w:r w:rsidRPr="00B82BA8">
        <w:rPr>
          <w:rFonts w:ascii="Arial" w:hAnsi="Arial" w:cs="Arial"/>
          <w:sz w:val="24"/>
          <w:szCs w:val="24"/>
        </w:rPr>
        <w:tab/>
      </w:r>
    </w:p>
    <w:p w:rsidR="00B82BA8" w:rsidRPr="00B82BA8" w:rsidRDefault="00B82BA8" w:rsidP="00B82BA8">
      <w:pPr>
        <w:jc w:val="both"/>
        <w:rPr>
          <w:rFonts w:ascii="Arial" w:hAnsi="Arial" w:cs="Arial"/>
          <w:sz w:val="24"/>
          <w:szCs w:val="24"/>
        </w:rPr>
      </w:pPr>
      <w:r w:rsidRPr="00B82BA8">
        <w:rPr>
          <w:rFonts w:ascii="Arial" w:hAnsi="Arial" w:cs="Arial"/>
          <w:sz w:val="24"/>
          <w:szCs w:val="24"/>
        </w:rPr>
        <w:t>IDFC Mutual Fund</w:t>
      </w:r>
      <w:r w:rsidRPr="00B82BA8">
        <w:rPr>
          <w:rFonts w:ascii="Arial" w:hAnsi="Arial" w:cs="Arial"/>
          <w:sz w:val="24"/>
          <w:szCs w:val="24"/>
        </w:rPr>
        <w:tab/>
      </w:r>
    </w:p>
    <w:p w:rsidR="00B82BA8" w:rsidRDefault="00B82BA8" w:rsidP="00B82BA8">
      <w:pPr>
        <w:jc w:val="both"/>
        <w:rPr>
          <w:rFonts w:ascii="Arial" w:hAnsi="Arial" w:cs="Arial"/>
          <w:sz w:val="24"/>
          <w:szCs w:val="24"/>
        </w:rPr>
      </w:pPr>
      <w:r w:rsidRPr="00B82BA8">
        <w:rPr>
          <w:rFonts w:ascii="Arial" w:hAnsi="Arial" w:cs="Arial"/>
          <w:sz w:val="24"/>
          <w:szCs w:val="24"/>
        </w:rPr>
        <w:t>Goldman Sachs Mutual Fund</w:t>
      </w:r>
      <w:r w:rsidRPr="00B82BA8">
        <w:rPr>
          <w:rFonts w:ascii="Arial" w:hAnsi="Arial" w:cs="Arial"/>
          <w:sz w:val="24"/>
          <w:szCs w:val="24"/>
        </w:rPr>
        <w:tab/>
      </w:r>
    </w:p>
    <w:p w:rsidR="008D350A" w:rsidRPr="00A95C47" w:rsidRDefault="008D350A" w:rsidP="00B82BA8">
      <w:pPr>
        <w:jc w:val="both"/>
        <w:rPr>
          <w:rFonts w:ascii="Arial" w:hAnsi="Arial" w:cs="Arial"/>
          <w:b/>
          <w:sz w:val="24"/>
          <w:szCs w:val="24"/>
          <w:u w:val="single"/>
        </w:rPr>
      </w:pPr>
      <w:r w:rsidRPr="00A95C47">
        <w:rPr>
          <w:rFonts w:ascii="Arial" w:hAnsi="Arial" w:cs="Arial"/>
          <w:b/>
          <w:sz w:val="24"/>
          <w:szCs w:val="24"/>
          <w:u w:val="single"/>
        </w:rPr>
        <w:t xml:space="preserve">We see some stock specific statistics now.  </w:t>
      </w:r>
      <w:r w:rsidR="00A95C47">
        <w:rPr>
          <w:rFonts w:ascii="Arial" w:hAnsi="Arial" w:cs="Arial"/>
          <w:b/>
          <w:sz w:val="24"/>
          <w:szCs w:val="24"/>
          <w:u w:val="single"/>
        </w:rPr>
        <w:t>:-</w:t>
      </w:r>
    </w:p>
    <w:p w:rsidR="00EC3C5E" w:rsidRDefault="00EC3C5E" w:rsidP="00B82BA8">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Nifty</w:t>
      </w:r>
      <w:r>
        <w:rPr>
          <w:rFonts w:ascii="Arial" w:hAnsi="Arial" w:cs="Arial"/>
          <w:sz w:val="24"/>
          <w:szCs w:val="24"/>
        </w:rPr>
        <w:tab/>
      </w:r>
      <w:r>
        <w:rPr>
          <w:rFonts w:ascii="Arial" w:hAnsi="Arial" w:cs="Arial"/>
          <w:sz w:val="24"/>
          <w:szCs w:val="24"/>
        </w:rPr>
        <w:tab/>
        <w:t>Marico</w:t>
      </w:r>
    </w:p>
    <w:p w:rsidR="00EC3C5E" w:rsidRPr="00EC3C5E" w:rsidRDefault="00EC3C5E" w:rsidP="00EC3C5E">
      <w:pPr>
        <w:jc w:val="both"/>
        <w:rPr>
          <w:rFonts w:ascii="Arial" w:hAnsi="Arial" w:cs="Arial"/>
          <w:sz w:val="24"/>
          <w:szCs w:val="24"/>
        </w:rPr>
      </w:pPr>
      <w:r w:rsidRPr="00EC3C5E">
        <w:rPr>
          <w:rFonts w:ascii="Arial" w:hAnsi="Arial" w:cs="Arial"/>
          <w:sz w:val="24"/>
          <w:szCs w:val="24"/>
        </w:rPr>
        <w:t>Average Monthly Returns</w:t>
      </w:r>
      <w:r w:rsidRPr="00EC3C5E">
        <w:rPr>
          <w:rFonts w:ascii="Arial" w:hAnsi="Arial" w:cs="Arial"/>
          <w:sz w:val="24"/>
          <w:szCs w:val="24"/>
        </w:rPr>
        <w:tab/>
      </w:r>
      <w:r w:rsidRPr="00EC3C5E">
        <w:rPr>
          <w:rFonts w:ascii="Arial" w:hAnsi="Arial" w:cs="Arial"/>
          <w:sz w:val="24"/>
          <w:szCs w:val="24"/>
        </w:rPr>
        <w:tab/>
        <w:t>0.81%</w:t>
      </w:r>
      <w:r w:rsidRPr="00EC3C5E">
        <w:rPr>
          <w:rFonts w:ascii="Arial" w:hAnsi="Arial" w:cs="Arial"/>
          <w:sz w:val="24"/>
          <w:szCs w:val="24"/>
        </w:rPr>
        <w:tab/>
      </w:r>
      <w:r w:rsidRPr="00EC3C5E">
        <w:rPr>
          <w:rFonts w:ascii="Arial" w:hAnsi="Arial" w:cs="Arial"/>
          <w:sz w:val="24"/>
          <w:szCs w:val="24"/>
        </w:rPr>
        <w:tab/>
        <w:t>2.22%</w:t>
      </w:r>
      <w:r w:rsidRPr="00EC3C5E">
        <w:rPr>
          <w:rFonts w:ascii="Arial" w:hAnsi="Arial" w:cs="Arial"/>
          <w:sz w:val="24"/>
          <w:szCs w:val="24"/>
        </w:rPr>
        <w:tab/>
      </w:r>
    </w:p>
    <w:p w:rsidR="00EC3C5E" w:rsidRPr="00EC3C5E" w:rsidRDefault="00EC3C5E" w:rsidP="00EC3C5E">
      <w:pPr>
        <w:jc w:val="both"/>
        <w:rPr>
          <w:rFonts w:ascii="Arial" w:hAnsi="Arial" w:cs="Arial"/>
          <w:sz w:val="24"/>
          <w:szCs w:val="24"/>
        </w:rPr>
      </w:pPr>
      <w:r w:rsidRPr="00EC3C5E">
        <w:rPr>
          <w:rFonts w:ascii="Arial" w:hAnsi="Arial" w:cs="Arial"/>
          <w:sz w:val="24"/>
          <w:szCs w:val="24"/>
        </w:rPr>
        <w:t>Annualised Returns</w:t>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ab/>
        <w:t>10.18%</w:t>
      </w:r>
      <w:r>
        <w:rPr>
          <w:rFonts w:ascii="Arial" w:hAnsi="Arial" w:cs="Arial"/>
          <w:sz w:val="24"/>
          <w:szCs w:val="24"/>
        </w:rPr>
        <w:tab/>
      </w:r>
      <w:r w:rsidRPr="00EC3C5E">
        <w:rPr>
          <w:rFonts w:ascii="Arial" w:hAnsi="Arial" w:cs="Arial"/>
          <w:sz w:val="24"/>
          <w:szCs w:val="24"/>
        </w:rPr>
        <w:t>30.22%</w:t>
      </w:r>
      <w:r w:rsidRPr="00EC3C5E">
        <w:rPr>
          <w:rFonts w:ascii="Arial" w:hAnsi="Arial" w:cs="Arial"/>
          <w:sz w:val="24"/>
          <w:szCs w:val="24"/>
        </w:rPr>
        <w:tab/>
      </w:r>
    </w:p>
    <w:p w:rsidR="00EC3C5E" w:rsidRPr="00EC3C5E" w:rsidRDefault="00EC3C5E" w:rsidP="00EC3C5E">
      <w:pPr>
        <w:jc w:val="both"/>
        <w:rPr>
          <w:rFonts w:ascii="Arial" w:hAnsi="Arial" w:cs="Arial"/>
          <w:sz w:val="24"/>
          <w:szCs w:val="24"/>
        </w:rPr>
      </w:pPr>
      <w:r w:rsidRPr="00EC3C5E">
        <w:rPr>
          <w:rFonts w:ascii="Arial" w:hAnsi="Arial" w:cs="Arial"/>
          <w:sz w:val="24"/>
          <w:szCs w:val="24"/>
        </w:rPr>
        <w:t>Monthly Standard Deviation</w:t>
      </w:r>
      <w:r w:rsidRPr="00EC3C5E">
        <w:rPr>
          <w:rFonts w:ascii="Arial" w:hAnsi="Arial" w:cs="Arial"/>
          <w:sz w:val="24"/>
          <w:szCs w:val="24"/>
        </w:rPr>
        <w:tab/>
        <w:t>4.80%</w:t>
      </w:r>
      <w:r w:rsidRPr="00EC3C5E">
        <w:rPr>
          <w:rFonts w:ascii="Arial" w:hAnsi="Arial" w:cs="Arial"/>
          <w:sz w:val="24"/>
          <w:szCs w:val="24"/>
        </w:rPr>
        <w:tab/>
      </w:r>
      <w:r w:rsidRPr="00EC3C5E">
        <w:rPr>
          <w:rFonts w:ascii="Arial" w:hAnsi="Arial" w:cs="Arial"/>
          <w:sz w:val="24"/>
          <w:szCs w:val="24"/>
        </w:rPr>
        <w:tab/>
        <w:t>5.68%</w:t>
      </w:r>
      <w:r w:rsidRPr="00EC3C5E">
        <w:rPr>
          <w:rFonts w:ascii="Arial" w:hAnsi="Arial" w:cs="Arial"/>
          <w:sz w:val="24"/>
          <w:szCs w:val="24"/>
        </w:rPr>
        <w:tab/>
      </w:r>
    </w:p>
    <w:p w:rsidR="00EC3C5E" w:rsidRPr="00EC3C5E" w:rsidRDefault="00EC3C5E" w:rsidP="00EC3C5E">
      <w:pPr>
        <w:jc w:val="both"/>
        <w:rPr>
          <w:rFonts w:ascii="Arial" w:hAnsi="Arial" w:cs="Arial"/>
          <w:sz w:val="24"/>
          <w:szCs w:val="24"/>
        </w:rPr>
      </w:pPr>
      <w:r w:rsidRPr="00EC3C5E">
        <w:rPr>
          <w:rFonts w:ascii="Arial" w:hAnsi="Arial" w:cs="Arial"/>
          <w:sz w:val="24"/>
          <w:szCs w:val="24"/>
        </w:rPr>
        <w:t>Volatility</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ab/>
      </w:r>
      <w:r w:rsidRPr="00EC3C5E">
        <w:rPr>
          <w:rFonts w:ascii="Arial" w:hAnsi="Arial" w:cs="Arial"/>
          <w:sz w:val="24"/>
          <w:szCs w:val="24"/>
        </w:rPr>
        <w:t>16.6</w:t>
      </w:r>
      <w:r>
        <w:rPr>
          <w:rFonts w:ascii="Arial" w:hAnsi="Arial" w:cs="Arial"/>
          <w:sz w:val="24"/>
          <w:szCs w:val="24"/>
        </w:rPr>
        <w:t>4%</w:t>
      </w:r>
      <w:r>
        <w:rPr>
          <w:rFonts w:ascii="Arial" w:hAnsi="Arial" w:cs="Arial"/>
          <w:sz w:val="24"/>
          <w:szCs w:val="24"/>
        </w:rPr>
        <w:tab/>
      </w:r>
      <w:r w:rsidRPr="00EC3C5E">
        <w:rPr>
          <w:rFonts w:ascii="Arial" w:hAnsi="Arial" w:cs="Arial"/>
          <w:sz w:val="24"/>
          <w:szCs w:val="24"/>
        </w:rPr>
        <w:t>19.67%</w:t>
      </w:r>
      <w:r w:rsidRPr="00EC3C5E">
        <w:rPr>
          <w:rFonts w:ascii="Arial" w:hAnsi="Arial" w:cs="Arial"/>
          <w:sz w:val="24"/>
          <w:szCs w:val="24"/>
        </w:rPr>
        <w:tab/>
      </w:r>
    </w:p>
    <w:p w:rsidR="00EC3C5E" w:rsidRPr="00EC3C5E" w:rsidRDefault="00EC3C5E" w:rsidP="00EC3C5E">
      <w:pPr>
        <w:jc w:val="both"/>
        <w:rPr>
          <w:rFonts w:ascii="Arial" w:hAnsi="Arial" w:cs="Arial"/>
          <w:sz w:val="24"/>
          <w:szCs w:val="24"/>
        </w:rPr>
      </w:pPr>
      <w:r w:rsidRPr="00EC3C5E">
        <w:rPr>
          <w:rFonts w:ascii="Arial" w:hAnsi="Arial" w:cs="Arial"/>
          <w:sz w:val="24"/>
          <w:szCs w:val="24"/>
        </w:rPr>
        <w:t>Correlation</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ab/>
      </w:r>
      <w:r w:rsidRPr="00EC3C5E">
        <w:rPr>
          <w:rFonts w:ascii="Arial" w:hAnsi="Arial" w:cs="Arial"/>
          <w:sz w:val="24"/>
          <w:szCs w:val="24"/>
        </w:rPr>
        <w:t xml:space="preserve"> 0.35 </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p>
    <w:p w:rsidR="00EC3C5E" w:rsidRDefault="00EC3C5E" w:rsidP="00EC3C5E">
      <w:pPr>
        <w:jc w:val="both"/>
        <w:rPr>
          <w:rFonts w:ascii="Arial" w:hAnsi="Arial" w:cs="Arial"/>
          <w:sz w:val="24"/>
          <w:szCs w:val="24"/>
        </w:rPr>
      </w:pPr>
      <w:r w:rsidRPr="00EC3C5E">
        <w:rPr>
          <w:rFonts w:ascii="Arial" w:hAnsi="Arial" w:cs="Arial"/>
          <w:sz w:val="24"/>
          <w:szCs w:val="24"/>
        </w:rPr>
        <w:t>Coefficient of Determination</w:t>
      </w:r>
      <w:r w:rsidRPr="00EC3C5E">
        <w:rPr>
          <w:rFonts w:ascii="Arial" w:hAnsi="Arial" w:cs="Arial"/>
          <w:sz w:val="24"/>
          <w:szCs w:val="24"/>
        </w:rPr>
        <w:tab/>
        <w:t xml:space="preserve"> 0.12 </w:t>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Low Market Risk</w:t>
      </w:r>
    </w:p>
    <w:p w:rsidR="00EC3C5E" w:rsidRPr="00EC3C5E" w:rsidRDefault="00EC3C5E" w:rsidP="00EC3C5E">
      <w:pPr>
        <w:pStyle w:val="ListParagraph"/>
        <w:numPr>
          <w:ilvl w:val="0"/>
          <w:numId w:val="1"/>
        </w:numPr>
        <w:jc w:val="both"/>
        <w:rPr>
          <w:rFonts w:ascii="Arial" w:hAnsi="Arial" w:cs="Arial"/>
          <w:sz w:val="24"/>
          <w:szCs w:val="24"/>
        </w:rPr>
      </w:pPr>
      <w:r>
        <w:rPr>
          <w:rFonts w:ascii="Arial" w:hAnsi="Arial" w:cs="Arial"/>
          <w:sz w:val="24"/>
          <w:szCs w:val="24"/>
        </w:rPr>
        <w:t>Coeff of Fetermination)</w:t>
      </w:r>
      <w:r>
        <w:rPr>
          <w:rFonts w:ascii="Arial" w:hAnsi="Arial" w:cs="Arial"/>
          <w:sz w:val="24"/>
          <w:szCs w:val="24"/>
        </w:rPr>
        <w:tab/>
        <w:t>0.88</w:t>
      </w:r>
      <w:r>
        <w:rPr>
          <w:rFonts w:ascii="Arial" w:hAnsi="Arial" w:cs="Arial"/>
          <w:sz w:val="24"/>
          <w:szCs w:val="24"/>
        </w:rPr>
        <w:tab/>
      </w:r>
      <w:r>
        <w:rPr>
          <w:rFonts w:ascii="Arial" w:hAnsi="Arial" w:cs="Arial"/>
          <w:sz w:val="24"/>
          <w:szCs w:val="24"/>
        </w:rPr>
        <w:tab/>
        <w:t>High Firm Specific Risk</w:t>
      </w:r>
      <w:r w:rsidRPr="00EC3C5E">
        <w:rPr>
          <w:rFonts w:ascii="Arial" w:hAnsi="Arial" w:cs="Arial"/>
          <w:sz w:val="24"/>
          <w:szCs w:val="24"/>
        </w:rPr>
        <w:tab/>
      </w:r>
    </w:p>
    <w:p w:rsidR="00EC3C5E" w:rsidRPr="00EC3C5E" w:rsidRDefault="00EC3C5E" w:rsidP="00EC3C5E">
      <w:pPr>
        <w:jc w:val="both"/>
        <w:rPr>
          <w:rFonts w:ascii="Arial" w:hAnsi="Arial" w:cs="Arial"/>
          <w:sz w:val="24"/>
          <w:szCs w:val="24"/>
        </w:rPr>
      </w:pPr>
      <w:r w:rsidRPr="00EC3C5E">
        <w:rPr>
          <w:rFonts w:ascii="Arial" w:hAnsi="Arial" w:cs="Arial"/>
          <w:sz w:val="24"/>
          <w:szCs w:val="24"/>
        </w:rPr>
        <w:t>Beta</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ab/>
      </w:r>
      <w:r w:rsidRPr="00EC3C5E">
        <w:rPr>
          <w:rFonts w:ascii="Arial" w:hAnsi="Arial" w:cs="Arial"/>
          <w:sz w:val="24"/>
          <w:szCs w:val="24"/>
        </w:rPr>
        <w:t xml:space="preserve"> 0.41 </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p>
    <w:p w:rsidR="00EC3C5E" w:rsidRDefault="00EC3C5E" w:rsidP="00EC3C5E">
      <w:pPr>
        <w:jc w:val="both"/>
        <w:rPr>
          <w:rFonts w:ascii="Arial" w:hAnsi="Arial" w:cs="Arial"/>
          <w:sz w:val="24"/>
          <w:szCs w:val="24"/>
        </w:rPr>
      </w:pPr>
      <w:r w:rsidRPr="00EC3C5E">
        <w:rPr>
          <w:rFonts w:ascii="Arial" w:hAnsi="Arial" w:cs="Arial"/>
          <w:sz w:val="24"/>
          <w:szCs w:val="24"/>
        </w:rPr>
        <w:t>Alpha</w:t>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ab/>
      </w:r>
      <w:r w:rsidRPr="00EC3C5E">
        <w:rPr>
          <w:rFonts w:ascii="Arial" w:hAnsi="Arial" w:cs="Arial"/>
          <w:sz w:val="24"/>
          <w:szCs w:val="24"/>
        </w:rPr>
        <w:t>1.89%</w:t>
      </w:r>
      <w:r w:rsidRPr="00EC3C5E">
        <w:rPr>
          <w:rFonts w:ascii="Arial" w:hAnsi="Arial" w:cs="Arial"/>
          <w:sz w:val="24"/>
          <w:szCs w:val="24"/>
        </w:rPr>
        <w:tab/>
      </w:r>
      <w:r w:rsidRPr="00EC3C5E">
        <w:rPr>
          <w:rFonts w:ascii="Arial" w:hAnsi="Arial" w:cs="Arial"/>
          <w:sz w:val="24"/>
          <w:szCs w:val="24"/>
        </w:rPr>
        <w:tab/>
      </w:r>
      <w:r>
        <w:rPr>
          <w:rFonts w:ascii="Arial" w:hAnsi="Arial" w:cs="Arial"/>
          <w:sz w:val="24"/>
          <w:szCs w:val="24"/>
        </w:rPr>
        <w:t>Outperformer on Risk Adjusted Basis</w:t>
      </w:r>
    </w:p>
    <w:p w:rsidR="00EC3C5E" w:rsidRDefault="00EC3C5E" w:rsidP="00EC3C5E">
      <w:pPr>
        <w:jc w:val="both"/>
        <w:rPr>
          <w:rFonts w:ascii="Arial" w:hAnsi="Arial" w:cs="Arial"/>
          <w:sz w:val="24"/>
          <w:szCs w:val="24"/>
        </w:rPr>
      </w:pPr>
      <w:r>
        <w:rPr>
          <w:rFonts w:ascii="Arial" w:hAnsi="Arial" w:cs="Arial"/>
          <w:sz w:val="24"/>
          <w:szCs w:val="24"/>
        </w:rPr>
        <w:t xml:space="preserve">Key Take Aways from the above analysis is that this stock is a positive alpha stock and it gives an annualized returns of 30%. It gyrates more than the market with higher standard deviation than the market. Low Market Risk is the only wrinkle in this otherwise perfect stock. Since the market rewards investors for bearing systematic risk ( market risk ) an average investor must hold stocks with high coefficient of </w:t>
      </w:r>
      <w:r w:rsidR="00E54718">
        <w:rPr>
          <w:rFonts w:ascii="Arial" w:hAnsi="Arial" w:cs="Arial"/>
          <w:sz w:val="24"/>
          <w:szCs w:val="24"/>
        </w:rPr>
        <w:t xml:space="preserve">determination . In this case </w:t>
      </w:r>
      <w:r w:rsidRPr="00EC3C5E">
        <w:rPr>
          <w:rFonts w:ascii="Arial" w:hAnsi="Arial" w:cs="Arial"/>
          <w:sz w:val="24"/>
          <w:szCs w:val="24"/>
        </w:rPr>
        <w:tab/>
      </w:r>
      <w:r w:rsidR="00E54718" w:rsidRPr="00EC3C5E">
        <w:rPr>
          <w:rFonts w:ascii="Arial" w:hAnsi="Arial" w:cs="Arial"/>
          <w:sz w:val="24"/>
          <w:szCs w:val="24"/>
        </w:rPr>
        <w:t>Coefficient of Determination</w:t>
      </w:r>
      <w:r w:rsidR="00E54718">
        <w:rPr>
          <w:rFonts w:ascii="Arial" w:hAnsi="Arial" w:cs="Arial"/>
          <w:sz w:val="24"/>
          <w:szCs w:val="24"/>
        </w:rPr>
        <w:t xml:space="preserve"> is low at 12% while firm specific factors that cause fluctuation is 88%. </w:t>
      </w:r>
    </w:p>
    <w:p w:rsidR="00ED2D1E" w:rsidRDefault="00E54718" w:rsidP="00EC3C5E">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ED2D1E" w:rsidRDefault="00ED2D1E" w:rsidP="00EC3C5E">
      <w:pPr>
        <w:jc w:val="both"/>
        <w:rPr>
          <w:rFonts w:ascii="Arial" w:hAnsi="Arial" w:cs="Arial"/>
          <w:sz w:val="24"/>
          <w:szCs w:val="24"/>
        </w:rPr>
      </w:pPr>
    </w:p>
    <w:p w:rsidR="00ED2D1E" w:rsidRDefault="00ED2D1E" w:rsidP="00EC3C5E">
      <w:pPr>
        <w:jc w:val="both"/>
        <w:rPr>
          <w:rFonts w:ascii="Arial" w:hAnsi="Arial" w:cs="Arial"/>
          <w:sz w:val="24"/>
          <w:szCs w:val="24"/>
        </w:rPr>
      </w:pPr>
    </w:p>
    <w:p w:rsidR="00E54718" w:rsidRPr="00E54718" w:rsidRDefault="00E54718" w:rsidP="00EC3C5E">
      <w:pPr>
        <w:jc w:val="both"/>
        <w:rPr>
          <w:rFonts w:ascii="Arial" w:hAnsi="Arial" w:cs="Arial"/>
          <w:b/>
          <w:sz w:val="24"/>
          <w:szCs w:val="24"/>
          <w:u w:val="single"/>
        </w:rPr>
      </w:pPr>
      <w:r w:rsidRPr="00E54718">
        <w:rPr>
          <w:rFonts w:ascii="Arial" w:hAnsi="Arial" w:cs="Arial"/>
          <w:b/>
          <w:sz w:val="24"/>
          <w:szCs w:val="24"/>
          <w:u w:val="single"/>
        </w:rPr>
        <w:t>Nifty Returns Vs Marico Returns</w:t>
      </w:r>
    </w:p>
    <w:p w:rsidR="008D350A" w:rsidRDefault="008D350A" w:rsidP="00B82BA8">
      <w:pPr>
        <w:jc w:val="both"/>
        <w:rPr>
          <w:rFonts w:ascii="Arial" w:hAnsi="Arial" w:cs="Arial"/>
          <w:sz w:val="24"/>
          <w:szCs w:val="24"/>
        </w:rPr>
      </w:pPr>
      <w:r w:rsidRPr="008D350A">
        <w:rPr>
          <w:rFonts w:ascii="Arial" w:hAnsi="Arial" w:cs="Arial"/>
          <w:noProof/>
          <w:sz w:val="24"/>
          <w:szCs w:val="24"/>
        </w:rPr>
        <w:drawing>
          <wp:inline distT="0" distB="0" distL="0" distR="0">
            <wp:extent cx="5956448" cy="1709302"/>
            <wp:effectExtent l="19050" t="0" r="25252" b="5198"/>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254E" w:rsidRPr="00ED2D1E" w:rsidRDefault="00ED2D1E" w:rsidP="00B82BA8">
      <w:pPr>
        <w:jc w:val="both"/>
        <w:rPr>
          <w:rFonts w:ascii="Arial" w:hAnsi="Arial" w:cs="Arial"/>
          <w:b/>
          <w:sz w:val="24"/>
          <w:szCs w:val="24"/>
          <w:u w:val="single"/>
        </w:rPr>
      </w:pPr>
      <w:r w:rsidRPr="00ED2D1E">
        <w:rPr>
          <w:rFonts w:ascii="Arial" w:hAnsi="Arial" w:cs="Arial"/>
          <w:b/>
          <w:sz w:val="24"/>
          <w:szCs w:val="24"/>
          <w:u w:val="single"/>
        </w:rPr>
        <w:t>Long Term Chart</w:t>
      </w:r>
    </w:p>
    <w:p w:rsidR="00ED2D1E" w:rsidRDefault="00ED2D1E" w:rsidP="00B82BA8">
      <w:pPr>
        <w:jc w:val="both"/>
        <w:rPr>
          <w:rFonts w:ascii="Arial" w:hAnsi="Arial" w:cs="Arial"/>
          <w:sz w:val="24"/>
          <w:szCs w:val="24"/>
        </w:rPr>
      </w:pPr>
      <w:r>
        <w:rPr>
          <w:rFonts w:ascii="Arial" w:hAnsi="Arial" w:cs="Arial"/>
          <w:noProof/>
          <w:sz w:val="24"/>
          <w:szCs w:val="24"/>
        </w:rPr>
        <w:drawing>
          <wp:inline distT="0" distB="0" distL="0" distR="0">
            <wp:extent cx="5943600" cy="43910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ED2D1E" w:rsidRDefault="00ED2D1E" w:rsidP="00B82BA8">
      <w:pPr>
        <w:jc w:val="both"/>
        <w:rPr>
          <w:rFonts w:ascii="Arial" w:hAnsi="Arial" w:cs="Arial"/>
          <w:sz w:val="24"/>
          <w:szCs w:val="24"/>
        </w:rPr>
      </w:pPr>
      <w:r>
        <w:rPr>
          <w:rFonts w:ascii="Arial" w:hAnsi="Arial" w:cs="Arial"/>
          <w:sz w:val="24"/>
          <w:szCs w:val="24"/>
        </w:rPr>
        <w:t>The 5 year price performance of this company is often a vertical rise. There is a sideways movement intermittently but the general long term trend has been upward.</w:t>
      </w:r>
    </w:p>
    <w:p w:rsidR="00A95C47" w:rsidRDefault="00A95C47" w:rsidP="00B82BA8">
      <w:pPr>
        <w:jc w:val="both"/>
        <w:rPr>
          <w:rFonts w:ascii="Arial" w:hAnsi="Arial" w:cs="Arial"/>
          <w:sz w:val="24"/>
          <w:szCs w:val="24"/>
        </w:rPr>
      </w:pPr>
    </w:p>
    <w:p w:rsidR="00564D3A" w:rsidRDefault="00564D3A" w:rsidP="00A95C47">
      <w:pPr>
        <w:jc w:val="both"/>
        <w:rPr>
          <w:rFonts w:ascii="Arial" w:hAnsi="Arial" w:cs="Arial"/>
          <w:b/>
          <w:sz w:val="24"/>
          <w:szCs w:val="24"/>
        </w:rPr>
      </w:pPr>
    </w:p>
    <w:p w:rsidR="0035254E" w:rsidRPr="0035254E" w:rsidRDefault="0035254E" w:rsidP="0035254E">
      <w:pPr>
        <w:jc w:val="both"/>
        <w:rPr>
          <w:rFonts w:ascii="Arial" w:hAnsi="Arial" w:cs="Arial"/>
          <w:b/>
          <w:sz w:val="24"/>
          <w:szCs w:val="24"/>
        </w:rPr>
      </w:pPr>
      <w:r w:rsidRPr="0035254E">
        <w:rPr>
          <w:rFonts w:ascii="Arial" w:hAnsi="Arial" w:cs="Arial"/>
          <w:b/>
          <w:sz w:val="24"/>
          <w:szCs w:val="24"/>
        </w:rPr>
        <w:t>SHAREHOLDING PATTERN</w:t>
      </w:r>
      <w:r w:rsidRPr="0035254E">
        <w:rPr>
          <w:rFonts w:ascii="Arial" w:hAnsi="Arial" w:cs="Arial"/>
          <w:b/>
          <w:sz w:val="24"/>
          <w:szCs w:val="24"/>
        </w:rPr>
        <w:tab/>
      </w:r>
    </w:p>
    <w:p w:rsidR="0035254E" w:rsidRPr="0035254E" w:rsidRDefault="0035254E" w:rsidP="0035254E">
      <w:pPr>
        <w:jc w:val="both"/>
        <w:rPr>
          <w:rFonts w:ascii="Arial" w:hAnsi="Arial" w:cs="Arial"/>
          <w:sz w:val="24"/>
          <w:szCs w:val="24"/>
        </w:rPr>
      </w:pPr>
      <w:r w:rsidRPr="0035254E">
        <w:rPr>
          <w:rFonts w:ascii="Arial" w:hAnsi="Arial" w:cs="Arial"/>
          <w:sz w:val="24"/>
          <w:szCs w:val="24"/>
        </w:rPr>
        <w:t>Promoters</w:t>
      </w:r>
      <w:r w:rsidRPr="0035254E">
        <w:rPr>
          <w:rFonts w:ascii="Arial" w:hAnsi="Arial" w:cs="Arial"/>
          <w:sz w:val="24"/>
          <w:szCs w:val="24"/>
        </w:rPr>
        <w:tab/>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59.67%</w:t>
      </w:r>
    </w:p>
    <w:p w:rsidR="0035254E" w:rsidRPr="0035254E" w:rsidRDefault="0035254E" w:rsidP="0035254E">
      <w:pPr>
        <w:jc w:val="both"/>
        <w:rPr>
          <w:rFonts w:ascii="Arial" w:hAnsi="Arial" w:cs="Arial"/>
          <w:sz w:val="24"/>
          <w:szCs w:val="24"/>
        </w:rPr>
      </w:pPr>
      <w:r w:rsidRPr="0035254E">
        <w:rPr>
          <w:rFonts w:ascii="Arial" w:hAnsi="Arial" w:cs="Arial"/>
          <w:sz w:val="24"/>
          <w:szCs w:val="24"/>
        </w:rPr>
        <w:t>Mutual Funds / UTI</w:t>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0.96%</w:t>
      </w:r>
    </w:p>
    <w:p w:rsidR="0035254E" w:rsidRPr="0035254E" w:rsidRDefault="0035254E" w:rsidP="0035254E">
      <w:pPr>
        <w:jc w:val="both"/>
        <w:rPr>
          <w:rFonts w:ascii="Arial" w:hAnsi="Arial" w:cs="Arial"/>
          <w:sz w:val="24"/>
          <w:szCs w:val="24"/>
        </w:rPr>
      </w:pPr>
      <w:r w:rsidRPr="0035254E">
        <w:rPr>
          <w:rFonts w:ascii="Arial" w:hAnsi="Arial" w:cs="Arial"/>
          <w:sz w:val="24"/>
          <w:szCs w:val="24"/>
        </w:rPr>
        <w:t>FI / Banks</w:t>
      </w:r>
      <w:r w:rsidRPr="0035254E">
        <w:rPr>
          <w:rFonts w:ascii="Arial" w:hAnsi="Arial" w:cs="Arial"/>
          <w:sz w:val="24"/>
          <w:szCs w:val="24"/>
        </w:rPr>
        <w:tab/>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0.08%</w:t>
      </w:r>
    </w:p>
    <w:p w:rsidR="0035254E" w:rsidRPr="0035254E" w:rsidRDefault="0035254E" w:rsidP="0035254E">
      <w:pPr>
        <w:jc w:val="both"/>
        <w:rPr>
          <w:rFonts w:ascii="Arial" w:hAnsi="Arial" w:cs="Arial"/>
          <w:sz w:val="24"/>
          <w:szCs w:val="24"/>
        </w:rPr>
      </w:pPr>
      <w:r w:rsidRPr="0035254E">
        <w:rPr>
          <w:rFonts w:ascii="Arial" w:hAnsi="Arial" w:cs="Arial"/>
          <w:sz w:val="24"/>
          <w:szCs w:val="24"/>
        </w:rPr>
        <w:t>Insurance</w:t>
      </w:r>
      <w:r w:rsidRPr="0035254E">
        <w:rPr>
          <w:rFonts w:ascii="Arial" w:hAnsi="Arial" w:cs="Arial"/>
          <w:sz w:val="24"/>
          <w:szCs w:val="24"/>
        </w:rPr>
        <w:tab/>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2.09%</w:t>
      </w:r>
    </w:p>
    <w:p w:rsidR="0035254E" w:rsidRPr="0035254E" w:rsidRDefault="0035254E" w:rsidP="0035254E">
      <w:pPr>
        <w:jc w:val="both"/>
        <w:rPr>
          <w:rFonts w:ascii="Arial" w:hAnsi="Arial" w:cs="Arial"/>
          <w:sz w:val="24"/>
          <w:szCs w:val="24"/>
        </w:rPr>
      </w:pPr>
      <w:r w:rsidRPr="0035254E">
        <w:rPr>
          <w:rFonts w:ascii="Arial" w:hAnsi="Arial" w:cs="Arial"/>
          <w:sz w:val="24"/>
          <w:szCs w:val="24"/>
        </w:rPr>
        <w:t>Government</w:t>
      </w:r>
      <w:r w:rsidRPr="0035254E">
        <w:rPr>
          <w:rFonts w:ascii="Arial" w:hAnsi="Arial" w:cs="Arial"/>
          <w:sz w:val="24"/>
          <w:szCs w:val="24"/>
        </w:rPr>
        <w:tab/>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0.12%</w:t>
      </w:r>
    </w:p>
    <w:p w:rsidR="0035254E" w:rsidRPr="0035254E" w:rsidRDefault="0035254E" w:rsidP="0035254E">
      <w:pPr>
        <w:jc w:val="both"/>
        <w:rPr>
          <w:rFonts w:ascii="Arial" w:hAnsi="Arial" w:cs="Arial"/>
          <w:sz w:val="24"/>
          <w:szCs w:val="24"/>
        </w:rPr>
      </w:pPr>
      <w:r w:rsidRPr="0035254E">
        <w:rPr>
          <w:rFonts w:ascii="Arial" w:hAnsi="Arial" w:cs="Arial"/>
          <w:sz w:val="24"/>
          <w:szCs w:val="24"/>
        </w:rPr>
        <w:t>FII</w:t>
      </w:r>
      <w:r w:rsidRPr="0035254E">
        <w:rPr>
          <w:rFonts w:ascii="Arial" w:hAnsi="Arial" w:cs="Arial"/>
          <w:sz w:val="24"/>
          <w:szCs w:val="24"/>
        </w:rPr>
        <w:tab/>
      </w:r>
      <w:r w:rsidRPr="0035254E">
        <w:rPr>
          <w:rFonts w:ascii="Arial" w:hAnsi="Arial" w:cs="Arial"/>
          <w:sz w:val="24"/>
          <w:szCs w:val="24"/>
        </w:rPr>
        <w:tab/>
      </w:r>
      <w:r w:rsidRPr="0035254E">
        <w:rPr>
          <w:rFonts w:ascii="Arial" w:hAnsi="Arial" w:cs="Arial"/>
          <w:sz w:val="24"/>
          <w:szCs w:val="24"/>
        </w:rPr>
        <w:tab/>
      </w:r>
      <w:r>
        <w:rPr>
          <w:rFonts w:ascii="Arial" w:hAnsi="Arial" w:cs="Arial"/>
          <w:sz w:val="24"/>
          <w:szCs w:val="24"/>
        </w:rPr>
        <w:tab/>
      </w:r>
      <w:r w:rsidRPr="0035254E">
        <w:rPr>
          <w:rFonts w:ascii="Arial" w:hAnsi="Arial" w:cs="Arial"/>
          <w:sz w:val="24"/>
          <w:szCs w:val="24"/>
        </w:rPr>
        <w:t>28.97%</w:t>
      </w:r>
    </w:p>
    <w:p w:rsidR="0035254E" w:rsidRPr="0035254E" w:rsidRDefault="0035254E" w:rsidP="0035254E">
      <w:pPr>
        <w:jc w:val="both"/>
        <w:rPr>
          <w:rFonts w:ascii="Arial" w:hAnsi="Arial" w:cs="Arial"/>
          <w:sz w:val="24"/>
          <w:szCs w:val="24"/>
        </w:rPr>
      </w:pPr>
      <w:r w:rsidRPr="0035254E">
        <w:rPr>
          <w:rFonts w:ascii="Arial" w:hAnsi="Arial" w:cs="Arial"/>
          <w:sz w:val="24"/>
          <w:szCs w:val="24"/>
        </w:rPr>
        <w:t>Others</w:t>
      </w:r>
      <w:r w:rsidRPr="0035254E">
        <w:rPr>
          <w:rFonts w:ascii="Arial" w:hAnsi="Arial" w:cs="Arial"/>
          <w:sz w:val="24"/>
          <w:szCs w:val="24"/>
        </w:rPr>
        <w:tab/>
      </w:r>
      <w:r w:rsidRPr="0035254E">
        <w:rPr>
          <w:rFonts w:ascii="Arial" w:hAnsi="Arial" w:cs="Arial"/>
          <w:sz w:val="24"/>
          <w:szCs w:val="24"/>
        </w:rPr>
        <w:tab/>
      </w:r>
      <w:r w:rsidRPr="0035254E">
        <w:rPr>
          <w:rFonts w:ascii="Arial" w:hAnsi="Arial" w:cs="Arial"/>
          <w:sz w:val="24"/>
          <w:szCs w:val="24"/>
        </w:rPr>
        <w:tab/>
        <w:t>8.10%</w:t>
      </w:r>
    </w:p>
    <w:p w:rsidR="00A95C47" w:rsidRPr="00EC3C5E" w:rsidRDefault="00A95C47" w:rsidP="0035254E">
      <w:pPr>
        <w:jc w:val="both"/>
        <w:rPr>
          <w:rFonts w:ascii="Arial" w:hAnsi="Arial" w:cs="Arial"/>
          <w:b/>
          <w:sz w:val="24"/>
          <w:szCs w:val="24"/>
        </w:rPr>
      </w:pPr>
      <w:r w:rsidRPr="00EC3C5E">
        <w:rPr>
          <w:rFonts w:ascii="Arial" w:hAnsi="Arial" w:cs="Arial"/>
          <w:b/>
          <w:sz w:val="24"/>
          <w:szCs w:val="24"/>
        </w:rPr>
        <w:t>Valuation:</w:t>
      </w:r>
      <w:r>
        <w:rPr>
          <w:rFonts w:ascii="Arial" w:hAnsi="Arial" w:cs="Arial"/>
          <w:b/>
          <w:sz w:val="24"/>
          <w:szCs w:val="24"/>
        </w:rPr>
        <w:t>-</w:t>
      </w:r>
    </w:p>
    <w:p w:rsidR="00A95C47" w:rsidRDefault="00A95C47" w:rsidP="00A95C47">
      <w:pPr>
        <w:jc w:val="both"/>
        <w:rPr>
          <w:rFonts w:ascii="Arial" w:hAnsi="Arial" w:cs="Arial"/>
          <w:sz w:val="24"/>
          <w:szCs w:val="24"/>
        </w:rPr>
      </w:pPr>
      <w:r>
        <w:rPr>
          <w:rFonts w:ascii="Arial" w:hAnsi="Arial" w:cs="Arial"/>
          <w:sz w:val="24"/>
          <w:szCs w:val="24"/>
        </w:rPr>
        <w:t xml:space="preserve">We use a 2 stage Discounted Cash Flow Approach to Value a Matured Company . </w:t>
      </w:r>
    </w:p>
    <w:p w:rsidR="00A95C47" w:rsidRDefault="00A95C47" w:rsidP="00A95C47">
      <w:pPr>
        <w:jc w:val="both"/>
        <w:rPr>
          <w:rFonts w:ascii="Arial" w:hAnsi="Arial" w:cs="Arial"/>
          <w:sz w:val="24"/>
          <w:szCs w:val="24"/>
        </w:rPr>
      </w:pPr>
      <w:r>
        <w:rPr>
          <w:rFonts w:ascii="Arial" w:hAnsi="Arial" w:cs="Arial"/>
          <w:sz w:val="24"/>
          <w:szCs w:val="24"/>
        </w:rPr>
        <w:t xml:space="preserve">The value of any financial asset is the present value of its future cash flow. The Free Cash Flows to firm represents the maximum cash that can be withdrawn from the firm in any year without affecting the financial health of the firm and distributed to investors and used for loan repayment. </w:t>
      </w:r>
    </w:p>
    <w:p w:rsidR="00A95C47" w:rsidRDefault="00A95C47" w:rsidP="00A95C47">
      <w:pPr>
        <w:jc w:val="both"/>
        <w:rPr>
          <w:rFonts w:ascii="Arial" w:hAnsi="Arial" w:cs="Arial"/>
          <w:sz w:val="24"/>
          <w:szCs w:val="24"/>
        </w:rPr>
      </w:pPr>
      <w:r>
        <w:rPr>
          <w:rFonts w:ascii="Arial" w:hAnsi="Arial" w:cs="Arial"/>
          <w:sz w:val="24"/>
          <w:szCs w:val="24"/>
        </w:rPr>
        <w:t xml:space="preserve">The assumptions into our model are on the left and the model on the right. We estimate there is value in buying this stock.  This firm can be expected to sustain a high growth rate of 28% for the explicit forecast period of 10 years. </w:t>
      </w:r>
    </w:p>
    <w:p w:rsidR="00A95C47" w:rsidRDefault="00A95C47" w:rsidP="00A95C47">
      <w:pPr>
        <w:jc w:val="both"/>
        <w:rPr>
          <w:rFonts w:ascii="Arial" w:hAnsi="Arial" w:cs="Arial"/>
          <w:sz w:val="24"/>
          <w:szCs w:val="24"/>
        </w:rPr>
      </w:pPr>
      <w:r>
        <w:rPr>
          <w:rFonts w:ascii="Arial" w:hAnsi="Arial" w:cs="Arial"/>
          <w:sz w:val="24"/>
          <w:szCs w:val="24"/>
        </w:rPr>
        <w:t xml:space="preserve">The major advantage for such firms is their products do not undergo drastic changes. Only product packaging needs to be updated keeping in mind consumer preferences. Thus excessive capital expenditure like in automobile sector to bring out new cars are not essential here. </w:t>
      </w:r>
    </w:p>
    <w:p w:rsidR="00A95C47" w:rsidRDefault="00A95C47" w:rsidP="00A95C47">
      <w:pPr>
        <w:jc w:val="both"/>
        <w:rPr>
          <w:rFonts w:ascii="Arial" w:hAnsi="Arial" w:cs="Arial"/>
          <w:sz w:val="24"/>
          <w:szCs w:val="24"/>
        </w:rPr>
      </w:pPr>
      <w:r>
        <w:rPr>
          <w:rFonts w:ascii="Arial" w:hAnsi="Arial" w:cs="Arial"/>
          <w:sz w:val="24"/>
          <w:szCs w:val="24"/>
        </w:rPr>
        <w:t xml:space="preserve">Once the consumer gets used to say a Parachute Hair oil she will continue to use it for herself and her next generation. Further this firm’s stock is a low beta stock. This means the Market risk of the stock is low. </w:t>
      </w:r>
    </w:p>
    <w:p w:rsidR="00A95C47" w:rsidRDefault="00A95C47" w:rsidP="00A95C47">
      <w:pPr>
        <w:jc w:val="both"/>
        <w:rPr>
          <w:rFonts w:ascii="Arial" w:hAnsi="Arial" w:cs="Arial"/>
          <w:sz w:val="24"/>
          <w:szCs w:val="24"/>
        </w:rPr>
      </w:pPr>
      <w:r>
        <w:rPr>
          <w:rFonts w:ascii="Arial" w:hAnsi="Arial" w:cs="Arial"/>
          <w:sz w:val="24"/>
          <w:szCs w:val="24"/>
        </w:rPr>
        <w:t>Out returns to justify investing in this stock ought to be low but this stock has consistently outperformed the FMCG and the broader market index NIFTY thus giving us superior returns compared to the risk we are taking.</w:t>
      </w:r>
    </w:p>
    <w:p w:rsidR="00A95C47" w:rsidRDefault="00A95C47" w:rsidP="00B82BA8">
      <w:pPr>
        <w:jc w:val="both"/>
        <w:rPr>
          <w:rFonts w:ascii="Arial" w:hAnsi="Arial" w:cs="Arial"/>
          <w:sz w:val="24"/>
          <w:szCs w:val="24"/>
        </w:rPr>
        <w:sectPr w:rsidR="00A95C47" w:rsidSect="00352B97">
          <w:footerReference w:type="default" r:id="rId2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D64B86" w:rsidRDefault="000A0AAC" w:rsidP="00B82BA8">
      <w:pPr>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213.5pt;margin-top:-4pt;width:456.25pt;height:2.5pt;flip:y;z-index:251659264" o:connectortype="straight"/>
        </w:pict>
      </w:r>
      <w:r w:rsidR="00D64B86">
        <w:rPr>
          <w:rFonts w:ascii="Arial" w:hAnsi="Arial" w:cs="Arial"/>
          <w:noProof/>
          <w:sz w:val="24"/>
          <w:szCs w:val="24"/>
        </w:rPr>
        <w:drawing>
          <wp:inline distT="0" distB="0" distL="0" distR="0">
            <wp:extent cx="8497629" cy="5582093"/>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8496630" cy="5581437"/>
                    </a:xfrm>
                    <a:prstGeom prst="rect">
                      <a:avLst/>
                    </a:prstGeom>
                    <a:noFill/>
                    <a:ln w="9525">
                      <a:noFill/>
                      <a:miter lim="800000"/>
                      <a:headEnd/>
                      <a:tailEnd/>
                    </a:ln>
                  </pic:spPr>
                </pic:pic>
              </a:graphicData>
            </a:graphic>
          </wp:inline>
        </w:drawing>
      </w:r>
    </w:p>
    <w:p w:rsidR="00352B97" w:rsidRDefault="00352B97" w:rsidP="00B82BA8">
      <w:pPr>
        <w:jc w:val="both"/>
        <w:rPr>
          <w:rFonts w:ascii="Arial" w:hAnsi="Arial" w:cs="Arial"/>
          <w:sz w:val="24"/>
          <w:szCs w:val="24"/>
        </w:rPr>
        <w:sectPr w:rsidR="00352B97" w:rsidSect="00352B97">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vAlign w:val="center"/>
          <w:docGrid w:linePitch="360"/>
        </w:sectPr>
      </w:pPr>
    </w:p>
    <w:p w:rsidR="002C6FCA" w:rsidRDefault="00E06AD0" w:rsidP="001172CD">
      <w:pPr>
        <w:ind w:firstLine="720"/>
        <w:jc w:val="both"/>
        <w:rPr>
          <w:rFonts w:ascii="Arial" w:hAnsi="Arial" w:cs="Arial"/>
          <w:sz w:val="24"/>
          <w:szCs w:val="24"/>
        </w:rPr>
      </w:pPr>
      <w:r>
        <w:rPr>
          <w:rFonts w:ascii="Arial" w:hAnsi="Arial" w:cs="Arial"/>
          <w:sz w:val="24"/>
          <w:szCs w:val="24"/>
        </w:rPr>
        <w:t>Annexure 1: Data from which Alpha, Beta, Correlation, Coefficient of Determination, Indexed to 100 returns for 5 years, standard deviation and volatility have been computed.</w:t>
      </w:r>
    </w:p>
    <w:p w:rsidR="001172CD" w:rsidRDefault="00E06AD0" w:rsidP="001172CD">
      <w:pPr>
        <w:ind w:firstLine="720"/>
        <w:jc w:val="both"/>
        <w:rPr>
          <w:rFonts w:ascii="Arial" w:hAnsi="Arial" w:cs="Arial"/>
          <w:sz w:val="24"/>
          <w:szCs w:val="24"/>
        </w:rPr>
      </w:pPr>
      <w:r>
        <w:rPr>
          <w:rFonts w:ascii="Arial" w:hAnsi="Arial" w:cs="Arial"/>
          <w:noProof/>
          <w:sz w:val="24"/>
          <w:szCs w:val="24"/>
        </w:rPr>
        <w:drawing>
          <wp:inline distT="0" distB="0" distL="0" distR="0">
            <wp:extent cx="4699635" cy="6167120"/>
            <wp:effectExtent l="19050" t="0" r="571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699635" cy="6167120"/>
                    </a:xfrm>
                    <a:prstGeom prst="rect">
                      <a:avLst/>
                    </a:prstGeom>
                    <a:noFill/>
                    <a:ln w="9525">
                      <a:noFill/>
                      <a:miter lim="800000"/>
                      <a:headEnd/>
                      <a:tailEnd/>
                    </a:ln>
                  </pic:spPr>
                </pic:pic>
              </a:graphicData>
            </a:graphic>
          </wp:inline>
        </w:drawing>
      </w:r>
    </w:p>
    <w:p w:rsidR="00E06AD0" w:rsidRDefault="00E06AD0" w:rsidP="001172CD">
      <w:pPr>
        <w:ind w:firstLine="720"/>
        <w:jc w:val="both"/>
        <w:rPr>
          <w:rFonts w:ascii="Arial" w:hAnsi="Arial" w:cs="Arial"/>
          <w:sz w:val="24"/>
          <w:szCs w:val="24"/>
        </w:rPr>
      </w:pPr>
      <w:r>
        <w:rPr>
          <w:rFonts w:ascii="Arial" w:hAnsi="Arial" w:cs="Arial"/>
          <w:noProof/>
          <w:sz w:val="24"/>
          <w:szCs w:val="24"/>
        </w:rPr>
        <w:drawing>
          <wp:inline distT="0" distB="0" distL="0" distR="0">
            <wp:extent cx="4678045" cy="3721100"/>
            <wp:effectExtent l="19050" t="0" r="825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678045" cy="3721100"/>
                    </a:xfrm>
                    <a:prstGeom prst="rect">
                      <a:avLst/>
                    </a:prstGeom>
                    <a:noFill/>
                    <a:ln w="9525">
                      <a:noFill/>
                      <a:miter lim="800000"/>
                      <a:headEnd/>
                      <a:tailEnd/>
                    </a:ln>
                  </pic:spPr>
                </pic:pic>
              </a:graphicData>
            </a:graphic>
          </wp:inline>
        </w:drawing>
      </w:r>
    </w:p>
    <w:p w:rsidR="00F043B5" w:rsidRPr="00313AEC" w:rsidRDefault="00F043B5" w:rsidP="00F043B5">
      <w:pPr>
        <w:rPr>
          <w:rFonts w:ascii="Times New Roman" w:hAnsi="Times New Roman" w:cs="Times New Roman"/>
          <w:color w:val="336699"/>
          <w:sz w:val="40"/>
          <w:szCs w:val="40"/>
          <w:lang w:val="en-IN" w:eastAsia="en-IN"/>
        </w:rPr>
      </w:pPr>
      <w:r w:rsidRPr="00313AEC">
        <w:rPr>
          <w:rFonts w:ascii="Times New Roman" w:hAnsi="Times New Roman" w:cs="Times New Roman"/>
          <w:color w:val="336699"/>
          <w:sz w:val="40"/>
          <w:szCs w:val="40"/>
          <w:lang w:val="en-IN" w:eastAsia="en-IN"/>
        </w:rPr>
        <w:t>MENTES CAPITAL</w:t>
      </w:r>
    </w:p>
    <w:p w:rsidR="00F043B5" w:rsidRPr="00313AEC" w:rsidRDefault="00F043B5" w:rsidP="00F043B5">
      <w:pPr>
        <w:rPr>
          <w:rFonts w:ascii="Times New Roman" w:hAnsi="Times New Roman" w:cs="Times New Roman"/>
          <w:b/>
          <w:color w:val="1F497D" w:themeColor="text2"/>
          <w:sz w:val="36"/>
          <w:szCs w:val="36"/>
        </w:rPr>
      </w:pPr>
      <w:r w:rsidRPr="00313AEC">
        <w:rPr>
          <w:rFonts w:ascii="Times New Roman" w:hAnsi="Times New Roman" w:cs="Times New Roman"/>
          <w:b/>
          <w:color w:val="000000" w:themeColor="text1"/>
          <w:sz w:val="24"/>
          <w:szCs w:val="24"/>
        </w:rPr>
        <w:t xml:space="preserve">WEB - </w:t>
      </w:r>
      <w:hyperlink r:id="rId31" w:history="1">
        <w:r w:rsidRPr="00313AEC">
          <w:rPr>
            <w:rStyle w:val="Hyperlink"/>
            <w:rFonts w:ascii="Times New Roman" w:hAnsi="Times New Roman" w:cs="Times New Roman"/>
            <w:b/>
            <w:color w:val="C00000"/>
            <w:sz w:val="24"/>
            <w:szCs w:val="24"/>
          </w:rPr>
          <w:t>WWW.MENTESCAPITAL.COM</w:t>
        </w:r>
      </w:hyperlink>
    </w:p>
    <w:p w:rsidR="00F043B5" w:rsidRPr="00313AEC" w:rsidRDefault="00F043B5" w:rsidP="00F043B5">
      <w:pPr>
        <w:rPr>
          <w:rFonts w:ascii="Times New Roman" w:hAnsi="Times New Roman" w:cs="Times New Roman"/>
          <w:b/>
          <w:color w:val="1F497D" w:themeColor="text2"/>
          <w:sz w:val="36"/>
          <w:szCs w:val="36"/>
        </w:rPr>
      </w:pPr>
      <w:r w:rsidRPr="00313AEC">
        <w:rPr>
          <w:rFonts w:ascii="Times New Roman" w:hAnsi="Times New Roman" w:cs="Times New Roman"/>
          <w:b/>
          <w:color w:val="000000" w:themeColor="text1"/>
          <w:sz w:val="24"/>
          <w:szCs w:val="24"/>
        </w:rPr>
        <w:t xml:space="preserve">PH.NO. - +91-9886751703, +91-9916570093             </w:t>
      </w:r>
    </w:p>
    <w:p w:rsidR="00F043B5" w:rsidRPr="00313AEC" w:rsidRDefault="00F043B5" w:rsidP="00F043B5">
      <w:pPr>
        <w:rPr>
          <w:rFonts w:ascii="Times New Roman" w:hAnsi="Times New Roman" w:cs="Times New Roman"/>
          <w:b/>
          <w:color w:val="1F497D" w:themeColor="text2"/>
          <w:sz w:val="36"/>
          <w:szCs w:val="36"/>
        </w:rPr>
      </w:pPr>
      <w:r w:rsidRPr="00313AEC">
        <w:rPr>
          <w:rFonts w:ascii="Times New Roman" w:hAnsi="Times New Roman" w:cs="Times New Roman"/>
          <w:b/>
          <w:color w:val="373E4D"/>
          <w:shd w:val="clear" w:color="auto" w:fill="F6F7F8"/>
        </w:rPr>
        <w:t>ADDRESS-   #164,9th Cross, Indiranagar 1st Stage, Bangalore 560038</w:t>
      </w:r>
    </w:p>
    <w:p w:rsidR="00F043B5" w:rsidRPr="00313AEC" w:rsidRDefault="00F043B5" w:rsidP="00F043B5">
      <w:pPr>
        <w:ind w:firstLine="720"/>
        <w:jc w:val="both"/>
        <w:rPr>
          <w:rFonts w:ascii="Times New Roman" w:hAnsi="Times New Roman" w:cs="Times New Roman"/>
          <w:sz w:val="20"/>
          <w:szCs w:val="20"/>
        </w:rPr>
      </w:pPr>
    </w:p>
    <w:p w:rsidR="00F043B5" w:rsidRPr="00313AEC" w:rsidRDefault="00F043B5" w:rsidP="00F043B5">
      <w:pPr>
        <w:jc w:val="both"/>
        <w:rPr>
          <w:rFonts w:ascii="Times New Roman" w:hAnsi="Times New Roman" w:cs="Times New Roman"/>
          <w:b/>
          <w:color w:val="C0504D" w:themeColor="accent2"/>
          <w:sz w:val="23"/>
          <w:szCs w:val="23"/>
          <w:shd w:val="clear" w:color="auto" w:fill="FFFFFF"/>
        </w:rPr>
      </w:pPr>
      <w:r w:rsidRPr="00313AEC">
        <w:rPr>
          <w:rFonts w:ascii="Times New Roman" w:hAnsi="Times New Roman" w:cs="Times New Roman"/>
          <w:b/>
          <w:color w:val="C0504D" w:themeColor="accent2"/>
          <w:sz w:val="23"/>
          <w:szCs w:val="23"/>
          <w:shd w:val="clear" w:color="auto" w:fill="FFFFFF"/>
        </w:rPr>
        <w:t>DISCLAIMER</w:t>
      </w:r>
    </w:p>
    <w:p w:rsidR="00F043B5" w:rsidRPr="00313AEC" w:rsidRDefault="00F043B5" w:rsidP="00F043B5">
      <w:pPr>
        <w:jc w:val="both"/>
        <w:rPr>
          <w:rFonts w:ascii="Times New Roman" w:hAnsi="Times New Roman" w:cs="Times New Roman"/>
          <w:b/>
          <w:color w:val="C0504D" w:themeColor="accent2"/>
          <w:sz w:val="23"/>
          <w:szCs w:val="23"/>
          <w:shd w:val="clear" w:color="auto" w:fill="FFFFFF"/>
        </w:rPr>
      </w:pPr>
      <w:r w:rsidRPr="00313AEC">
        <w:rPr>
          <w:rFonts w:ascii="Times New Roman" w:hAnsi="Times New Roman" w:cs="Times New Roman"/>
          <w:b/>
          <w:color w:val="C0504D" w:themeColor="accent2"/>
          <w:sz w:val="23"/>
          <w:szCs w:val="23"/>
          <w:shd w:val="clear" w:color="auto" w:fill="FFFFFF"/>
        </w:rPr>
        <w:t>*****************************************************************************</w:t>
      </w:r>
    </w:p>
    <w:p w:rsidR="00F043B5" w:rsidRPr="00313AEC" w:rsidRDefault="00F043B5" w:rsidP="00F043B5">
      <w:pPr>
        <w:jc w:val="both"/>
        <w:rPr>
          <w:rFonts w:ascii="Times New Roman" w:hAnsi="Times New Roman" w:cs="Times New Roman"/>
          <w:color w:val="222222"/>
          <w:sz w:val="23"/>
          <w:szCs w:val="23"/>
          <w:shd w:val="clear" w:color="auto" w:fill="FFFFFF"/>
        </w:rPr>
      </w:pPr>
      <w:r w:rsidRPr="00313AEC">
        <w:rPr>
          <w:rFonts w:ascii="Times New Roman" w:hAnsi="Times New Roman" w:cs="Times New Roman"/>
          <w:color w:val="222222"/>
          <w:sz w:val="23"/>
          <w:szCs w:val="23"/>
          <w:shd w:val="clear" w:color="auto" w:fill="FFFFFF"/>
        </w:rPr>
        <w:t>This information/email sent by Mentes capital may express financial guidance but these recommendation, advice, or guidance does not account for specific and particular financial goal and any suggestions, opinions conclusions stated in this information/email endorsed by us unless it is assigned. Mentes capital does not warrant the accuracy of any such information or appropriateness of any transaction. The information through this electronic communication and any attachments are for informational purposes only and no circumstance should they be affirmed as an offer to sell or a solicitation to buy any of Mentes products or any such reports. Risk of loss can be of any amount on this investment. You should take all the precaution while trading and investing is suitable for you in light of your experience, goal and other relevant circumstances. Mentes capital and its associate, employees, partners, subsidiary branch shall not be liable for any losses incurred by you. Trading and investments in financial markets are subjected to market risks therefore advised to seek professional support. There is no guarantee/assurance as to returns, capital protection and appreciation. It’s the sole responsibilities of the investors and traders for any decision taken by them. Any information in the email attachment is for recipient personal and confidential use. It is affirmed that dissemination, distribution or copying this information is strictly prohibited. There is a risk of modification in the information due to electronic nature of email. It’s not guaranteed that messages are virus free, malicious code. We are not liable for virus free. Please contact your relationship manager for more information on these risks. Past performance of actual trades or strategies cited herein is not necessarily indicative of future performance.</w:t>
      </w:r>
    </w:p>
    <w:p w:rsidR="00F043B5" w:rsidRPr="00313AEC" w:rsidRDefault="00F043B5" w:rsidP="00F043B5">
      <w:pPr>
        <w:jc w:val="both"/>
        <w:rPr>
          <w:rFonts w:ascii="Times New Roman" w:hAnsi="Times New Roman" w:cs="Times New Roman"/>
          <w:b/>
          <w:color w:val="4F81BD" w:themeColor="accent1"/>
          <w:sz w:val="23"/>
          <w:szCs w:val="23"/>
          <w:shd w:val="clear" w:color="auto" w:fill="FFFFFF"/>
        </w:rPr>
      </w:pPr>
      <w:r w:rsidRPr="00313AEC">
        <w:rPr>
          <w:rFonts w:ascii="Times New Roman" w:hAnsi="Times New Roman" w:cs="Times New Roman"/>
          <w:color w:val="222222"/>
          <w:sz w:val="23"/>
          <w:szCs w:val="23"/>
          <w:shd w:val="clear" w:color="auto" w:fill="FFFFFF"/>
        </w:rPr>
        <w:t xml:space="preserve">For detail disclaimer go to our website </w:t>
      </w:r>
      <w:r w:rsidRPr="00313AEC">
        <w:rPr>
          <w:rFonts w:ascii="Times New Roman" w:hAnsi="Times New Roman" w:cs="Times New Roman"/>
          <w:b/>
          <w:color w:val="4F81BD" w:themeColor="accent1"/>
          <w:sz w:val="23"/>
          <w:szCs w:val="23"/>
          <w:u w:val="single"/>
          <w:shd w:val="clear" w:color="auto" w:fill="FFFFFF"/>
        </w:rPr>
        <w:t>www.mentescapital.com</w:t>
      </w:r>
      <w:r w:rsidRPr="00313AEC">
        <w:rPr>
          <w:rFonts w:ascii="Times New Roman" w:hAnsi="Times New Roman" w:cs="Times New Roman"/>
          <w:b/>
          <w:color w:val="4F81BD" w:themeColor="accent1"/>
          <w:sz w:val="23"/>
          <w:szCs w:val="23"/>
          <w:shd w:val="clear" w:color="auto" w:fill="FFFFFF"/>
        </w:rPr>
        <w:t>.</w:t>
      </w:r>
    </w:p>
    <w:p w:rsidR="00B82BA8" w:rsidRPr="00090038" w:rsidRDefault="00B82BA8" w:rsidP="00B82BA8">
      <w:pPr>
        <w:jc w:val="both"/>
        <w:rPr>
          <w:rFonts w:ascii="Arial" w:hAnsi="Arial" w:cs="Arial"/>
          <w:sz w:val="24"/>
          <w:szCs w:val="24"/>
        </w:rPr>
      </w:pPr>
    </w:p>
    <w:sectPr w:rsidR="00B82BA8" w:rsidRPr="00090038" w:rsidSect="00352B9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12B" w:rsidRDefault="001E412B" w:rsidP="00533541">
      <w:pPr>
        <w:spacing w:after="0" w:line="240" w:lineRule="auto"/>
      </w:pPr>
      <w:r>
        <w:separator/>
      </w:r>
    </w:p>
  </w:endnote>
  <w:endnote w:type="continuationSeparator" w:id="1">
    <w:p w:rsidR="001E412B" w:rsidRDefault="001E412B" w:rsidP="00533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4922"/>
      <w:docPartObj>
        <w:docPartGallery w:val="Page Numbers (Bottom of Page)"/>
        <w:docPartUnique/>
      </w:docPartObj>
    </w:sdtPr>
    <w:sdtEndPr>
      <w:rPr>
        <w:color w:val="7F7F7F" w:themeColor="background1" w:themeShade="7F"/>
        <w:spacing w:val="60"/>
      </w:rPr>
    </w:sdtEndPr>
    <w:sdtContent>
      <w:p w:rsidR="00533541" w:rsidRDefault="000A0AAC">
        <w:pPr>
          <w:pStyle w:val="Footer"/>
          <w:pBdr>
            <w:top w:val="single" w:sz="4" w:space="1" w:color="D9D9D9" w:themeColor="background1" w:themeShade="D9"/>
          </w:pBdr>
          <w:rPr>
            <w:b/>
          </w:rPr>
        </w:pPr>
        <w:fldSimple w:instr=" PAGE   \* MERGEFORMAT ">
          <w:r w:rsidR="00EA4B19" w:rsidRPr="00EA4B19">
            <w:rPr>
              <w:b/>
              <w:noProof/>
            </w:rPr>
            <w:t>1</w:t>
          </w:r>
        </w:fldSimple>
        <w:r w:rsidR="00533541">
          <w:rPr>
            <w:b/>
          </w:rPr>
          <w:t xml:space="preserve"> | </w:t>
        </w:r>
        <w:r w:rsidR="00533541">
          <w:rPr>
            <w:color w:val="7F7F7F" w:themeColor="background1" w:themeShade="7F"/>
            <w:spacing w:val="60"/>
          </w:rPr>
          <w:t>Page</w:t>
        </w:r>
      </w:p>
    </w:sdtContent>
  </w:sdt>
  <w:p w:rsidR="00533541" w:rsidRDefault="005335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12B" w:rsidRDefault="001E412B" w:rsidP="00533541">
      <w:pPr>
        <w:spacing w:after="0" w:line="240" w:lineRule="auto"/>
      </w:pPr>
      <w:r>
        <w:separator/>
      </w:r>
    </w:p>
  </w:footnote>
  <w:footnote w:type="continuationSeparator" w:id="1">
    <w:p w:rsidR="001E412B" w:rsidRDefault="001E412B" w:rsidP="00533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66A41"/>
    <w:multiLevelType w:val="hybridMultilevel"/>
    <w:tmpl w:val="5DBC8808"/>
    <w:lvl w:ilvl="0" w:tplc="4492F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14B1D"/>
    <w:rsid w:val="000009F1"/>
    <w:rsid w:val="00014B1D"/>
    <w:rsid w:val="00040C27"/>
    <w:rsid w:val="00090038"/>
    <w:rsid w:val="000A0AAC"/>
    <w:rsid w:val="001172CD"/>
    <w:rsid w:val="00132803"/>
    <w:rsid w:val="00196B43"/>
    <w:rsid w:val="001E412B"/>
    <w:rsid w:val="00203F04"/>
    <w:rsid w:val="002C6FCA"/>
    <w:rsid w:val="00351491"/>
    <w:rsid w:val="0035254E"/>
    <w:rsid w:val="00352B97"/>
    <w:rsid w:val="003F21D9"/>
    <w:rsid w:val="00533541"/>
    <w:rsid w:val="00564D3A"/>
    <w:rsid w:val="006C012C"/>
    <w:rsid w:val="007A42FA"/>
    <w:rsid w:val="007D3573"/>
    <w:rsid w:val="008212DD"/>
    <w:rsid w:val="008616BA"/>
    <w:rsid w:val="008D350A"/>
    <w:rsid w:val="00924E16"/>
    <w:rsid w:val="009643BA"/>
    <w:rsid w:val="009F7933"/>
    <w:rsid w:val="00A3498F"/>
    <w:rsid w:val="00A77612"/>
    <w:rsid w:val="00A869CD"/>
    <w:rsid w:val="00A95C47"/>
    <w:rsid w:val="00B37A6D"/>
    <w:rsid w:val="00B54CD6"/>
    <w:rsid w:val="00B7095E"/>
    <w:rsid w:val="00B82BA8"/>
    <w:rsid w:val="00B93D98"/>
    <w:rsid w:val="00BA2E6C"/>
    <w:rsid w:val="00BE1795"/>
    <w:rsid w:val="00CB7CE6"/>
    <w:rsid w:val="00D36097"/>
    <w:rsid w:val="00D64B86"/>
    <w:rsid w:val="00E06AD0"/>
    <w:rsid w:val="00E54718"/>
    <w:rsid w:val="00EA4B19"/>
    <w:rsid w:val="00EC3C5E"/>
    <w:rsid w:val="00ED2D1E"/>
    <w:rsid w:val="00EE347E"/>
    <w:rsid w:val="00EE7754"/>
    <w:rsid w:val="00F043B5"/>
    <w:rsid w:val="00F457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803"/>
  </w:style>
  <w:style w:type="paragraph" w:styleId="Heading1">
    <w:name w:val="heading 1"/>
    <w:basedOn w:val="Normal"/>
    <w:link w:val="Heading1Char"/>
    <w:uiPriority w:val="9"/>
    <w:qFormat/>
    <w:rsid w:val="00014B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B1D"/>
    <w:rPr>
      <w:rFonts w:ascii="Times New Roman" w:eastAsia="Times New Roman" w:hAnsi="Times New Roman" w:cs="Times New Roman"/>
      <w:b/>
      <w:bCs/>
      <w:kern w:val="36"/>
      <w:sz w:val="48"/>
      <w:szCs w:val="48"/>
    </w:rPr>
  </w:style>
  <w:style w:type="character" w:customStyle="1" w:styleId="pr7">
    <w:name w:val="pr7"/>
    <w:basedOn w:val="DefaultParagraphFont"/>
    <w:rsid w:val="00014B1D"/>
  </w:style>
  <w:style w:type="paragraph" w:styleId="BalloonText">
    <w:name w:val="Balloon Text"/>
    <w:basedOn w:val="Normal"/>
    <w:link w:val="BalloonTextChar"/>
    <w:uiPriority w:val="99"/>
    <w:semiHidden/>
    <w:unhideWhenUsed/>
    <w:rsid w:val="007A4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2FA"/>
    <w:rPr>
      <w:rFonts w:ascii="Tahoma" w:hAnsi="Tahoma" w:cs="Tahoma"/>
      <w:sz w:val="16"/>
      <w:szCs w:val="16"/>
    </w:rPr>
  </w:style>
  <w:style w:type="paragraph" w:styleId="NormalWeb">
    <w:name w:val="Normal (Web)"/>
    <w:basedOn w:val="Normal"/>
    <w:uiPriority w:val="99"/>
    <w:semiHidden/>
    <w:unhideWhenUsed/>
    <w:rsid w:val="00352B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3C5E"/>
    <w:pPr>
      <w:ind w:left="720"/>
      <w:contextualSpacing/>
    </w:pPr>
  </w:style>
  <w:style w:type="paragraph" w:styleId="Header">
    <w:name w:val="header"/>
    <w:basedOn w:val="Normal"/>
    <w:link w:val="HeaderChar"/>
    <w:uiPriority w:val="99"/>
    <w:semiHidden/>
    <w:unhideWhenUsed/>
    <w:rsid w:val="005335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33541"/>
  </w:style>
  <w:style w:type="paragraph" w:styleId="Footer">
    <w:name w:val="footer"/>
    <w:basedOn w:val="Normal"/>
    <w:link w:val="FooterChar"/>
    <w:uiPriority w:val="99"/>
    <w:unhideWhenUsed/>
    <w:rsid w:val="00533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541"/>
  </w:style>
  <w:style w:type="paragraph" w:styleId="TOCHeading">
    <w:name w:val="TOC Heading"/>
    <w:basedOn w:val="Heading1"/>
    <w:next w:val="Normal"/>
    <w:uiPriority w:val="39"/>
    <w:semiHidden/>
    <w:unhideWhenUsed/>
    <w:qFormat/>
    <w:rsid w:val="0053354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DefaultParagraphFont"/>
    <w:unhideWhenUsed/>
    <w:rsid w:val="00F043B5"/>
    <w:rPr>
      <w:color w:val="0000FF"/>
      <w:u w:val="single"/>
    </w:rPr>
  </w:style>
  <w:style w:type="character" w:customStyle="1" w:styleId="apple-converted-space">
    <w:name w:val="apple-converted-space"/>
    <w:basedOn w:val="DefaultParagraphFont"/>
    <w:rsid w:val="003F21D9"/>
  </w:style>
</w:styles>
</file>

<file path=word/webSettings.xml><?xml version="1.0" encoding="utf-8"?>
<w:webSettings xmlns:r="http://schemas.openxmlformats.org/officeDocument/2006/relationships" xmlns:w="http://schemas.openxmlformats.org/wordprocessingml/2006/main">
  <w:divs>
    <w:div w:id="240606151">
      <w:bodyDiv w:val="1"/>
      <w:marLeft w:val="0"/>
      <w:marRight w:val="0"/>
      <w:marTop w:val="0"/>
      <w:marBottom w:val="0"/>
      <w:divBdr>
        <w:top w:val="none" w:sz="0" w:space="0" w:color="auto"/>
        <w:left w:val="none" w:sz="0" w:space="0" w:color="auto"/>
        <w:bottom w:val="none" w:sz="0" w:space="0" w:color="auto"/>
        <w:right w:val="none" w:sz="0" w:space="0" w:color="auto"/>
      </w:divBdr>
    </w:div>
    <w:div w:id="806970291">
      <w:bodyDiv w:val="1"/>
      <w:marLeft w:val="0"/>
      <w:marRight w:val="0"/>
      <w:marTop w:val="0"/>
      <w:marBottom w:val="0"/>
      <w:divBdr>
        <w:top w:val="none" w:sz="0" w:space="0" w:color="auto"/>
        <w:left w:val="none" w:sz="0" w:space="0" w:color="auto"/>
        <w:bottom w:val="none" w:sz="0" w:space="0" w:color="auto"/>
        <w:right w:val="none" w:sz="0" w:space="0" w:color="auto"/>
      </w:divBdr>
    </w:div>
    <w:div w:id="2065252225">
      <w:bodyDiv w:val="1"/>
      <w:marLeft w:val="0"/>
      <w:marRight w:val="0"/>
      <w:marTop w:val="0"/>
      <w:marBottom w:val="0"/>
      <w:divBdr>
        <w:top w:val="none" w:sz="0" w:space="0" w:color="auto"/>
        <w:left w:val="none" w:sz="0" w:space="0" w:color="auto"/>
        <w:bottom w:val="none" w:sz="0" w:space="0" w:color="auto"/>
        <w:right w:val="none" w:sz="0" w:space="0" w:color="auto"/>
      </w:divBdr>
    </w:div>
    <w:div w:id="213486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nvestopedia.com/terms/p/pullback.asp" TargetMode="External"/><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MENTES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gi\Downloads\table%20(23).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Vertical_Analysis!$A$16</c:f>
              <c:strCache>
                <c:ptCount val="1"/>
                <c:pt idx="0">
                  <c:v>Net Block</c:v>
                </c:pt>
              </c:strCache>
            </c:strRef>
          </c:tx>
          <c:marker>
            <c:symbol val="none"/>
          </c:marker>
          <c:cat>
            <c:strRef>
              <c:f>Vertical_Analysis!$B$2:$E$2</c:f>
              <c:strCache>
                <c:ptCount val="4"/>
                <c:pt idx="0">
                  <c:v>Mar '12</c:v>
                </c:pt>
                <c:pt idx="1">
                  <c:v>Mar '13</c:v>
                </c:pt>
                <c:pt idx="2">
                  <c:v>Mar '14</c:v>
                </c:pt>
                <c:pt idx="3">
                  <c:v>Mar '15</c:v>
                </c:pt>
              </c:strCache>
            </c:strRef>
          </c:cat>
          <c:val>
            <c:numRef>
              <c:f>Vertical_Analysis!$B$16:$E$16</c:f>
              <c:numCache>
                <c:formatCode>0.00%</c:formatCode>
                <c:ptCount val="4"/>
                <c:pt idx="0">
                  <c:v>0.44408753678451557</c:v>
                </c:pt>
                <c:pt idx="1">
                  <c:v>0.59496678362156386</c:v>
                </c:pt>
                <c:pt idx="2">
                  <c:v>0.4617413424473672</c:v>
                </c:pt>
                <c:pt idx="3">
                  <c:v>0.49522231427782493</c:v>
                </c:pt>
              </c:numCache>
            </c:numRef>
          </c:val>
        </c:ser>
        <c:ser>
          <c:idx val="1"/>
          <c:order val="1"/>
          <c:tx>
            <c:strRef>
              <c:f>Vertical_Analysis!$A$17</c:f>
              <c:strCache>
                <c:ptCount val="1"/>
                <c:pt idx="0">
                  <c:v>Capital Work in Progress</c:v>
                </c:pt>
              </c:strCache>
            </c:strRef>
          </c:tx>
          <c:marker>
            <c:symbol val="none"/>
          </c:marker>
          <c:cat>
            <c:strRef>
              <c:f>Vertical_Analysis!$B$2:$E$2</c:f>
              <c:strCache>
                <c:ptCount val="4"/>
                <c:pt idx="0">
                  <c:v>Mar '12</c:v>
                </c:pt>
                <c:pt idx="1">
                  <c:v>Mar '13</c:v>
                </c:pt>
                <c:pt idx="2">
                  <c:v>Mar '14</c:v>
                </c:pt>
                <c:pt idx="3">
                  <c:v>Mar '15</c:v>
                </c:pt>
              </c:strCache>
            </c:strRef>
          </c:cat>
          <c:val>
            <c:numRef>
              <c:f>Vertical_Analysis!$B$17:$E$17</c:f>
              <c:numCache>
                <c:formatCode>0.00%</c:formatCode>
                <c:ptCount val="4"/>
                <c:pt idx="0">
                  <c:v>2.0811746176482813E-2</c:v>
                </c:pt>
                <c:pt idx="1">
                  <c:v>5.2604769622597816E-2</c:v>
                </c:pt>
                <c:pt idx="2">
                  <c:v>2.2837107438446595E-3</c:v>
                </c:pt>
                <c:pt idx="3">
                  <c:v>1.3992451440670219E-3</c:v>
                </c:pt>
              </c:numCache>
            </c:numRef>
          </c:val>
        </c:ser>
        <c:ser>
          <c:idx val="2"/>
          <c:order val="2"/>
          <c:tx>
            <c:strRef>
              <c:f>Vertical_Analysis!$A$18</c:f>
              <c:strCache>
                <c:ptCount val="1"/>
                <c:pt idx="0">
                  <c:v>Investments</c:v>
                </c:pt>
              </c:strCache>
            </c:strRef>
          </c:tx>
          <c:marker>
            <c:symbol val="none"/>
          </c:marker>
          <c:cat>
            <c:strRef>
              <c:f>Vertical_Analysis!$B$2:$E$2</c:f>
              <c:strCache>
                <c:ptCount val="4"/>
                <c:pt idx="0">
                  <c:v>Mar '12</c:v>
                </c:pt>
                <c:pt idx="1">
                  <c:v>Mar '13</c:v>
                </c:pt>
                <c:pt idx="2">
                  <c:v>Mar '14</c:v>
                </c:pt>
                <c:pt idx="3">
                  <c:v>Mar '15</c:v>
                </c:pt>
              </c:strCache>
            </c:strRef>
          </c:cat>
          <c:val>
            <c:numRef>
              <c:f>Vertical_Analysis!$B$18:$E$18</c:f>
              <c:numCache>
                <c:formatCode>0.00%</c:formatCode>
                <c:ptCount val="4"/>
                <c:pt idx="0">
                  <c:v>0.15317383014879593</c:v>
                </c:pt>
                <c:pt idx="1">
                  <c:v>5.4011790478565323E-2</c:v>
                </c:pt>
                <c:pt idx="2">
                  <c:v>0.16154002216083793</c:v>
                </c:pt>
                <c:pt idx="3">
                  <c:v>0.13062689864678267</c:v>
                </c:pt>
              </c:numCache>
            </c:numRef>
          </c:val>
        </c:ser>
        <c:ser>
          <c:idx val="3"/>
          <c:order val="3"/>
          <c:tx>
            <c:strRef>
              <c:f>Vertical_Analysis!$A$30</c:f>
              <c:strCache>
                <c:ptCount val="1"/>
                <c:pt idx="0">
                  <c:v>Net Current Assets</c:v>
                </c:pt>
              </c:strCache>
            </c:strRef>
          </c:tx>
          <c:marker>
            <c:symbol val="none"/>
          </c:marker>
          <c:cat>
            <c:strRef>
              <c:f>Vertical_Analysis!$B$2:$E$2</c:f>
              <c:strCache>
                <c:ptCount val="4"/>
                <c:pt idx="0">
                  <c:v>Mar '12</c:v>
                </c:pt>
                <c:pt idx="1">
                  <c:v>Mar '13</c:v>
                </c:pt>
                <c:pt idx="2">
                  <c:v>Mar '14</c:v>
                </c:pt>
                <c:pt idx="3">
                  <c:v>Mar '15</c:v>
                </c:pt>
              </c:strCache>
            </c:strRef>
          </c:cat>
          <c:val>
            <c:numRef>
              <c:f>Vertical_Analysis!$B$30:$E$30</c:f>
              <c:numCache>
                <c:formatCode>0.00%</c:formatCode>
                <c:ptCount val="4"/>
                <c:pt idx="0">
                  <c:v>0.38192688689020776</c:v>
                </c:pt>
                <c:pt idx="1">
                  <c:v>0.29841665627727326</c:v>
                </c:pt>
                <c:pt idx="2">
                  <c:v>0.37443492464795047</c:v>
                </c:pt>
                <c:pt idx="3">
                  <c:v>0.37275154193132654</c:v>
                </c:pt>
              </c:numCache>
            </c:numRef>
          </c:val>
        </c:ser>
        <c:marker val="1"/>
        <c:axId val="41347328"/>
        <c:axId val="41349120"/>
      </c:lineChart>
      <c:catAx>
        <c:axId val="41347328"/>
        <c:scaling>
          <c:orientation val="minMax"/>
        </c:scaling>
        <c:axPos val="b"/>
        <c:tickLblPos val="nextTo"/>
        <c:crossAx val="41349120"/>
        <c:crosses val="autoZero"/>
        <c:auto val="1"/>
        <c:lblAlgn val="ctr"/>
        <c:lblOffset val="100"/>
      </c:catAx>
      <c:valAx>
        <c:axId val="41349120"/>
        <c:scaling>
          <c:orientation val="minMax"/>
        </c:scaling>
        <c:axPos val="l"/>
        <c:majorGridlines/>
        <c:numFmt formatCode="0.00%" sourceLinked="1"/>
        <c:tickLblPos val="nextTo"/>
        <c:crossAx val="4134732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'table (23)'!$G$2</c:f>
              <c:strCache>
                <c:ptCount val="1"/>
                <c:pt idx="0">
                  <c:v>Nifty</c:v>
                </c:pt>
              </c:strCache>
            </c:strRef>
          </c:tx>
          <c:marker>
            <c:symbol val="none"/>
          </c:marker>
          <c:val>
            <c:numRef>
              <c:f>'table (23)'!$G$3:$G$62</c:f>
              <c:numCache>
                <c:formatCode>_(* #,##0.00_);_(* \(#,##0.00\);_(* "-"??_);_(@_)</c:formatCode>
                <c:ptCount val="60"/>
                <c:pt idx="0" formatCode="General">
                  <c:v>100</c:v>
                </c:pt>
                <c:pt idx="1">
                  <c:v>91.225829989055157</c:v>
                </c:pt>
                <c:pt idx="2">
                  <c:v>90.172382342210682</c:v>
                </c:pt>
                <c:pt idx="3">
                  <c:v>97.165269937978863</c:v>
                </c:pt>
                <c:pt idx="4">
                  <c:v>88.14392201751177</c:v>
                </c:pt>
                <c:pt idx="5">
                  <c:v>84.354246716526688</c:v>
                </c:pt>
                <c:pt idx="6">
                  <c:v>94.842210871944545</c:v>
                </c:pt>
                <c:pt idx="7">
                  <c:v>98.234224644290549</c:v>
                </c:pt>
                <c:pt idx="8">
                  <c:v>96.598865468806991</c:v>
                </c:pt>
                <c:pt idx="9">
                  <c:v>95.734219299525819</c:v>
                </c:pt>
                <c:pt idx="10">
                  <c:v>89.825793506019593</c:v>
                </c:pt>
                <c:pt idx="11">
                  <c:v>96.295145968624581</c:v>
                </c:pt>
                <c:pt idx="12">
                  <c:v>95.384896023349157</c:v>
                </c:pt>
                <c:pt idx="13">
                  <c:v>95.923020795330274</c:v>
                </c:pt>
                <c:pt idx="14">
                  <c:v>104.03684430864648</c:v>
                </c:pt>
                <c:pt idx="15">
                  <c:v>102.51186054359729</c:v>
                </c:pt>
                <c:pt idx="16">
                  <c:v>107.25738960233491</c:v>
                </c:pt>
                <c:pt idx="17">
                  <c:v>107.71798792411543</c:v>
                </c:pt>
                <c:pt idx="18">
                  <c:v>110.08299890550889</c:v>
                </c:pt>
                <c:pt idx="19">
                  <c:v>103.84986875228013</c:v>
                </c:pt>
                <c:pt idx="20">
                  <c:v>103.65833281649006</c:v>
                </c:pt>
                <c:pt idx="21">
                  <c:v>108.17585178766863</c:v>
                </c:pt>
                <c:pt idx="22">
                  <c:v>109.19281639912437</c:v>
                </c:pt>
                <c:pt idx="23">
                  <c:v>106.57059823057276</c:v>
                </c:pt>
                <c:pt idx="24">
                  <c:v>104.74279460051079</c:v>
                </c:pt>
                <c:pt idx="25">
                  <c:v>99.813932962422399</c:v>
                </c:pt>
                <c:pt idx="26">
                  <c:v>104.62057287486304</c:v>
                </c:pt>
                <c:pt idx="27">
                  <c:v>114.90605439620577</c:v>
                </c:pt>
                <c:pt idx="28">
                  <c:v>112.66143921926304</c:v>
                </c:pt>
                <c:pt idx="29">
                  <c:v>114.99452754469172</c:v>
                </c:pt>
                <c:pt idx="30">
                  <c:v>111.08172199927041</c:v>
                </c:pt>
                <c:pt idx="31">
                  <c:v>114.50109804815762</c:v>
                </c:pt>
                <c:pt idx="32">
                  <c:v>122.29478648303542</c:v>
                </c:pt>
                <c:pt idx="33">
                  <c:v>122.15249730025526</c:v>
                </c:pt>
                <c:pt idx="34">
                  <c:v>131.88526441079921</c:v>
                </c:pt>
                <c:pt idx="35">
                  <c:v>138.8425774899672</c:v>
                </c:pt>
                <c:pt idx="36">
                  <c:v>140.848227015688</c:v>
                </c:pt>
                <c:pt idx="37">
                  <c:v>145.09941805910253</c:v>
                </c:pt>
                <c:pt idx="38">
                  <c:v>145.29003657424298</c:v>
                </c:pt>
                <c:pt idx="39">
                  <c:v>151.80956211236756</c:v>
                </c:pt>
                <c:pt idx="40">
                  <c:v>156.66271433783288</c:v>
                </c:pt>
                <c:pt idx="41">
                  <c:v>151.08902216344396</c:v>
                </c:pt>
                <c:pt idx="42">
                  <c:v>160.68771234950742</c:v>
                </c:pt>
                <c:pt idx="43">
                  <c:v>161.33892026632611</c:v>
                </c:pt>
                <c:pt idx="44">
                  <c:v>154.88872674206516</c:v>
                </c:pt>
                <c:pt idx="45">
                  <c:v>149.24297701568764</c:v>
                </c:pt>
                <c:pt idx="46">
                  <c:v>153.84258283473179</c:v>
                </c:pt>
                <c:pt idx="47">
                  <c:v>152.65414082451656</c:v>
                </c:pt>
                <c:pt idx="48">
                  <c:v>155.65212712513681</c:v>
                </c:pt>
                <c:pt idx="49">
                  <c:v>145.40860643925569</c:v>
                </c:pt>
                <c:pt idx="50">
                  <c:v>144.99999821233123</c:v>
                </c:pt>
                <c:pt idx="51">
                  <c:v>147.13242986136441</c:v>
                </c:pt>
                <c:pt idx="52">
                  <c:v>144.75100328347321</c:v>
                </c:pt>
                <c:pt idx="53">
                  <c:v>144.95348591754831</c:v>
                </c:pt>
                <c:pt idx="54">
                  <c:v>137.97062759941622</c:v>
                </c:pt>
                <c:pt idx="55">
                  <c:v>127.45439264866832</c:v>
                </c:pt>
                <c:pt idx="56">
                  <c:v>141.16015873768694</c:v>
                </c:pt>
                <c:pt idx="57">
                  <c:v>143.19226203940158</c:v>
                </c:pt>
                <c:pt idx="58">
                  <c:v>148.8526103246991</c:v>
                </c:pt>
                <c:pt idx="59">
                  <c:v>150.792597500912</c:v>
                </c:pt>
              </c:numCache>
            </c:numRef>
          </c:val>
        </c:ser>
        <c:ser>
          <c:idx val="1"/>
          <c:order val="1"/>
          <c:tx>
            <c:strRef>
              <c:f>'table (23)'!$H$2</c:f>
              <c:strCache>
                <c:ptCount val="1"/>
                <c:pt idx="0">
                  <c:v>Marico</c:v>
                </c:pt>
              </c:strCache>
            </c:strRef>
          </c:tx>
          <c:marker>
            <c:symbol val="none"/>
          </c:marker>
          <c:val>
            <c:numRef>
              <c:f>'table (23)'!$H$3:$H$62</c:f>
              <c:numCache>
                <c:formatCode>_(* #,##0.00_);_(* \(#,##0.00\);_(* "-"??_);_(@_)</c:formatCode>
                <c:ptCount val="60"/>
                <c:pt idx="0" formatCode="General">
                  <c:v>100</c:v>
                </c:pt>
                <c:pt idx="1">
                  <c:v>88.244083244729225</c:v>
                </c:pt>
                <c:pt idx="2">
                  <c:v>85.625109705283649</c:v>
                </c:pt>
                <c:pt idx="3">
                  <c:v>91.994083081112251</c:v>
                </c:pt>
                <c:pt idx="4">
                  <c:v>87.111106631637767</c:v>
                </c:pt>
                <c:pt idx="5">
                  <c:v>86.871990017522634</c:v>
                </c:pt>
                <c:pt idx="6">
                  <c:v>90.727084406934381</c:v>
                </c:pt>
                <c:pt idx="7">
                  <c:v>94.014296471878239</c:v>
                </c:pt>
                <c:pt idx="8">
                  <c:v>104.77244980782835</c:v>
                </c:pt>
                <c:pt idx="9">
                  <c:v>105.84823896268307</c:v>
                </c:pt>
                <c:pt idx="10">
                  <c:v>105.19219973017574</c:v>
                </c:pt>
                <c:pt idx="11">
                  <c:v>110.29570588813539</c:v>
                </c:pt>
                <c:pt idx="12">
                  <c:v>117.74087418929352</c:v>
                </c:pt>
                <c:pt idx="13">
                  <c:v>120.08241852816055</c:v>
                </c:pt>
                <c:pt idx="14">
                  <c:v>120.14252491594343</c:v>
                </c:pt>
                <c:pt idx="15">
                  <c:v>125.8163872893315</c:v>
                </c:pt>
                <c:pt idx="16">
                  <c:v>133.96988685679347</c:v>
                </c:pt>
                <c:pt idx="17">
                  <c:v>131.55607610526332</c:v>
                </c:pt>
                <c:pt idx="18">
                  <c:v>136.68450442401061</c:v>
                </c:pt>
                <c:pt idx="19">
                  <c:v>128.75012091305697</c:v>
                </c:pt>
                <c:pt idx="20">
                  <c:v>128.44930100799948</c:v>
                </c:pt>
                <c:pt idx="21">
                  <c:v>135.9903227668519</c:v>
                </c:pt>
                <c:pt idx="22">
                  <c:v>143.06737871095103</c:v>
                </c:pt>
                <c:pt idx="23">
                  <c:v>125.85485694823696</c:v>
                </c:pt>
                <c:pt idx="24">
                  <c:v>127.00609323270405</c:v>
                </c:pt>
                <c:pt idx="25">
                  <c:v>128.82412821195157</c:v>
                </c:pt>
                <c:pt idx="26">
                  <c:v>133.2786633972911</c:v>
                </c:pt>
                <c:pt idx="27">
                  <c:v>128.46076729626091</c:v>
                </c:pt>
                <c:pt idx="28">
                  <c:v>133.11246766434704</c:v>
                </c:pt>
                <c:pt idx="29">
                  <c:v>133.51295003381631</c:v>
                </c:pt>
                <c:pt idx="30">
                  <c:v>131.84942197995838</c:v>
                </c:pt>
                <c:pt idx="31">
                  <c:v>131.19923369591328</c:v>
                </c:pt>
                <c:pt idx="32">
                  <c:v>132.28892376187972</c:v>
                </c:pt>
                <c:pt idx="33">
                  <c:v>129.03150310342426</c:v>
                </c:pt>
                <c:pt idx="34">
                  <c:v>154.30017878770721</c:v>
                </c:pt>
                <c:pt idx="35">
                  <c:v>154.3634266243287</c:v>
                </c:pt>
                <c:pt idx="36">
                  <c:v>161.70051599606089</c:v>
                </c:pt>
                <c:pt idx="37">
                  <c:v>172.20014118194658</c:v>
                </c:pt>
                <c:pt idx="38">
                  <c:v>196.07728592433253</c:v>
                </c:pt>
                <c:pt idx="39">
                  <c:v>196.86793623958383</c:v>
                </c:pt>
                <c:pt idx="40">
                  <c:v>205.64526209958456</c:v>
                </c:pt>
                <c:pt idx="41">
                  <c:v>206.9180200966338</c:v>
                </c:pt>
                <c:pt idx="42">
                  <c:v>229.60485678461978</c:v>
                </c:pt>
                <c:pt idx="43">
                  <c:v>229.59489577392657</c:v>
                </c:pt>
                <c:pt idx="44">
                  <c:v>247.56459833238813</c:v>
                </c:pt>
                <c:pt idx="45">
                  <c:v>257.80091774809898</c:v>
                </c:pt>
                <c:pt idx="46">
                  <c:v>282.12416131496911</c:v>
                </c:pt>
                <c:pt idx="47">
                  <c:v>288.57400081965687</c:v>
                </c:pt>
                <c:pt idx="48">
                  <c:v>282.41295208884759</c:v>
                </c:pt>
                <c:pt idx="49">
                  <c:v>260.27173270668357</c:v>
                </c:pt>
                <c:pt idx="50">
                  <c:v>259.4053472956769</c:v>
                </c:pt>
                <c:pt idx="51">
                  <c:v>248.49517401466818</c:v>
                </c:pt>
                <c:pt idx="52">
                  <c:v>273.6239374212916</c:v>
                </c:pt>
                <c:pt idx="53">
                  <c:v>292.81936786981146</c:v>
                </c:pt>
                <c:pt idx="54">
                  <c:v>286.9927656360054</c:v>
                </c:pt>
                <c:pt idx="55">
                  <c:v>308.60069789903895</c:v>
                </c:pt>
                <c:pt idx="56">
                  <c:v>319.77331305179024</c:v>
                </c:pt>
                <c:pt idx="57">
                  <c:v>339.14559398056531</c:v>
                </c:pt>
                <c:pt idx="58">
                  <c:v>326.18710443105294</c:v>
                </c:pt>
                <c:pt idx="59">
                  <c:v>334.82608873781425</c:v>
                </c:pt>
              </c:numCache>
            </c:numRef>
          </c:val>
        </c:ser>
        <c:marker val="1"/>
        <c:axId val="41508864"/>
        <c:axId val="41510400"/>
      </c:lineChart>
      <c:catAx>
        <c:axId val="41508864"/>
        <c:scaling>
          <c:orientation val="minMax"/>
        </c:scaling>
        <c:axPos val="b"/>
        <c:tickLblPos val="nextTo"/>
        <c:crossAx val="41510400"/>
        <c:crosses val="autoZero"/>
        <c:auto val="1"/>
        <c:lblAlgn val="ctr"/>
        <c:lblOffset val="100"/>
      </c:catAx>
      <c:valAx>
        <c:axId val="41510400"/>
        <c:scaling>
          <c:orientation val="minMax"/>
        </c:scaling>
        <c:axPos val="l"/>
        <c:majorGridlines/>
        <c:numFmt formatCode="General" sourceLinked="1"/>
        <c:tickLblPos val="nextTo"/>
        <c:crossAx val="4150886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E89A3-4519-4B36-9635-F9D746CA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jgi</dc:creator>
  <cp:lastModifiedBy>jgi</cp:lastModifiedBy>
  <cp:revision>2</cp:revision>
  <dcterms:created xsi:type="dcterms:W3CDTF">2016-06-09T10:55:00Z</dcterms:created>
  <dcterms:modified xsi:type="dcterms:W3CDTF">2016-06-09T10:55:00Z</dcterms:modified>
</cp:coreProperties>
</file>